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D6A9EE">
      <w:pPr>
        <w:keepNext w:val="0"/>
        <w:keepLines w:val="0"/>
        <w:pageBreakBefore w:val="0"/>
        <w:kinsoku/>
        <w:overflowPunct/>
        <w:topLinePunct w:val="0"/>
        <w:bidi w:val="0"/>
        <w:snapToGrid/>
        <w:spacing w:line="600" w:lineRule="exact"/>
        <w:ind w:left="0" w:leftChars="0" w:firstLine="0" w:firstLineChars="0"/>
        <w:jc w:val="center"/>
        <w:textAlignment w:val="auto"/>
        <w:rPr>
          <w:rFonts w:hint="eastAsia" w:ascii="方正小标宋简体" w:hAnsi="宋体" w:eastAsia="方正小标宋简体"/>
          <w:color w:val="auto"/>
          <w:sz w:val="44"/>
          <w:szCs w:val="32"/>
        </w:rPr>
      </w:pPr>
      <w:r>
        <w:rPr>
          <w:rFonts w:hint="eastAsia" w:ascii="方正小标宋简体" w:hAnsi="宋体" w:eastAsia="方正小标宋简体"/>
          <w:color w:val="auto"/>
          <w:sz w:val="44"/>
          <w:szCs w:val="32"/>
        </w:rPr>
        <w:t>团体标准《半月板损伤中医诊疗规范》</w:t>
      </w:r>
    </w:p>
    <w:p w14:paraId="67EFCAD8">
      <w:pPr>
        <w:keepNext w:val="0"/>
        <w:keepLines w:val="0"/>
        <w:pageBreakBefore w:val="0"/>
        <w:kinsoku/>
        <w:overflowPunct/>
        <w:topLinePunct w:val="0"/>
        <w:bidi w:val="0"/>
        <w:snapToGrid/>
        <w:spacing w:line="600" w:lineRule="exact"/>
        <w:ind w:left="0" w:leftChars="0" w:firstLine="0" w:firstLineChars="0"/>
        <w:jc w:val="center"/>
        <w:textAlignment w:val="auto"/>
        <w:rPr>
          <w:rFonts w:ascii="方正小标宋简体" w:hAnsi="宋体" w:eastAsia="方正小标宋简体"/>
          <w:color w:val="auto"/>
          <w:sz w:val="44"/>
          <w:szCs w:val="32"/>
        </w:rPr>
      </w:pPr>
      <w:r>
        <w:rPr>
          <w:rFonts w:hint="eastAsia" w:ascii="方正小标宋简体" w:hAnsi="宋体" w:eastAsia="方正小标宋简体"/>
          <w:color w:val="auto"/>
          <w:sz w:val="44"/>
          <w:szCs w:val="32"/>
        </w:rPr>
        <w:t>（征求意见稿）编制说明</w:t>
      </w:r>
    </w:p>
    <w:p w14:paraId="7545AED6">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p>
    <w:p w14:paraId="0D5136F0">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一、任务来源、起草单位、主要起草人</w:t>
      </w:r>
    </w:p>
    <w:p w14:paraId="7FB55DF0">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highlight w:val="none"/>
        </w:rPr>
        <w:t>根据《广西标准化协会关于下达20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年第</w:t>
      </w:r>
      <w:r>
        <w:rPr>
          <w:rFonts w:hint="eastAsia" w:ascii="仿宋_GB2312" w:hAnsi="宋体"/>
          <w:color w:val="auto"/>
          <w:sz w:val="32"/>
          <w:szCs w:val="28"/>
          <w:highlight w:val="none"/>
          <w:lang w:val="en-US" w:eastAsia="zh-CN"/>
        </w:rPr>
        <w:t>七</w:t>
      </w:r>
      <w:r>
        <w:rPr>
          <w:rFonts w:hint="eastAsia" w:ascii="仿宋_GB2312" w:hAnsi="宋体" w:eastAsia="仿宋_GB2312"/>
          <w:color w:val="auto"/>
          <w:sz w:val="32"/>
          <w:szCs w:val="28"/>
          <w:highlight w:val="none"/>
        </w:rPr>
        <w:t>批团体标准制修订项目计划的通知》（桂标协〔20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79</w:t>
      </w:r>
      <w:r>
        <w:rPr>
          <w:rFonts w:hint="eastAsia" w:ascii="仿宋_GB2312" w:hAnsi="宋体" w:eastAsia="仿宋_GB2312"/>
          <w:color w:val="auto"/>
          <w:sz w:val="32"/>
          <w:szCs w:val="28"/>
          <w:highlight w:val="none"/>
        </w:rPr>
        <w:t>号）文件精神，由</w:t>
      </w:r>
      <w:r>
        <w:rPr>
          <w:rFonts w:hint="eastAsia" w:ascii="仿宋_GB2312" w:hAnsi="宋体"/>
          <w:color w:val="auto"/>
          <w:sz w:val="32"/>
          <w:szCs w:val="28"/>
          <w:highlight w:val="none"/>
          <w:lang w:val="en-US" w:eastAsia="zh-CN"/>
        </w:rPr>
        <w:t>玉林市中医医院</w:t>
      </w:r>
      <w:r>
        <w:rPr>
          <w:rFonts w:hint="eastAsia" w:ascii="仿宋_GB2312" w:hAnsi="宋体" w:eastAsia="仿宋_GB2312"/>
          <w:color w:val="auto"/>
          <w:sz w:val="32"/>
          <w:szCs w:val="28"/>
          <w:highlight w:val="none"/>
        </w:rPr>
        <w:t>提出，</w:t>
      </w:r>
      <w:r>
        <w:rPr>
          <w:rFonts w:hint="eastAsia" w:ascii="仿宋_GB2312" w:hAnsi="宋体"/>
          <w:color w:val="auto"/>
          <w:sz w:val="32"/>
          <w:szCs w:val="28"/>
          <w:highlight w:val="none"/>
          <w:lang w:val="en-US" w:eastAsia="zh-CN"/>
        </w:rPr>
        <w:t>玉林市中医医院、广西中医药大学第一附属医院、钦州市中医医院、南宁市妇幼保健院</w:t>
      </w:r>
      <w:r>
        <w:rPr>
          <w:rFonts w:hint="eastAsia" w:ascii="仿宋_GB2312" w:hAnsi="宋体" w:eastAsia="仿宋_GB2312"/>
          <w:color w:val="auto"/>
          <w:sz w:val="32"/>
          <w:szCs w:val="28"/>
          <w:highlight w:val="none"/>
        </w:rPr>
        <w:t>等</w:t>
      </w:r>
      <w:r>
        <w:rPr>
          <w:rFonts w:ascii="仿宋_GB2312" w:hAnsi="宋体" w:eastAsia="仿宋_GB2312"/>
          <w:color w:val="auto"/>
          <w:sz w:val="32"/>
          <w:szCs w:val="28"/>
          <w:highlight w:val="none"/>
        </w:rPr>
        <w:t>单位</w:t>
      </w:r>
      <w:r>
        <w:rPr>
          <w:rFonts w:hint="eastAsia" w:ascii="仿宋_GB2312" w:hAnsi="宋体" w:eastAsia="仿宋_GB2312"/>
          <w:color w:val="auto"/>
          <w:sz w:val="32"/>
          <w:szCs w:val="28"/>
          <w:highlight w:val="none"/>
        </w:rPr>
        <w:t>共同起草的团体标准《半月板损伤中医诊疗规范》（项目编号：20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0734</w:t>
      </w:r>
      <w:r>
        <w:rPr>
          <w:rFonts w:hint="eastAsia" w:ascii="仿宋_GB2312" w:hAnsi="宋体" w:eastAsia="仿宋_GB2312"/>
          <w:color w:val="auto"/>
          <w:sz w:val="32"/>
          <w:szCs w:val="28"/>
          <w:highlight w:val="none"/>
        </w:rPr>
        <w:t>）已获批</w:t>
      </w:r>
      <w:r>
        <w:rPr>
          <w:rFonts w:hint="eastAsia" w:ascii="仿宋_GB2312" w:hAnsi="宋体" w:eastAsia="仿宋_GB2312"/>
          <w:color w:val="auto"/>
          <w:sz w:val="32"/>
          <w:szCs w:val="28"/>
        </w:rPr>
        <w:t>立项。</w:t>
      </w:r>
    </w:p>
    <w:p w14:paraId="134AFA4C">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为高质量编制团体标准《半月板损伤中医诊疗规范》，由起草单位成立标准编制工作组并进行如下分工：</w:t>
      </w:r>
    </w:p>
    <w:tbl>
      <w:tblPr>
        <w:tblStyle w:val="6"/>
        <w:tblW w:w="4996" w:type="pct"/>
        <w:tblInd w:w="0" w:type="dxa"/>
        <w:tblLayout w:type="autofit"/>
        <w:tblCellMar>
          <w:top w:w="0" w:type="dxa"/>
          <w:left w:w="108" w:type="dxa"/>
          <w:bottom w:w="0" w:type="dxa"/>
          <w:right w:w="108" w:type="dxa"/>
        </w:tblCellMar>
      </w:tblPr>
      <w:tblGrid>
        <w:gridCol w:w="939"/>
        <w:gridCol w:w="1437"/>
        <w:gridCol w:w="1278"/>
        <w:gridCol w:w="2402"/>
        <w:gridCol w:w="3111"/>
      </w:tblGrid>
      <w:tr w14:paraId="338254AE">
        <w:tblPrEx>
          <w:tblCellMar>
            <w:top w:w="0" w:type="dxa"/>
            <w:left w:w="108" w:type="dxa"/>
            <w:bottom w:w="0" w:type="dxa"/>
            <w:right w:w="108" w:type="dxa"/>
          </w:tblCellMar>
        </w:tblPrEx>
        <w:trPr>
          <w:cantSplit/>
          <w:trHeight w:val="578" w:hRule="atLeast"/>
          <w:tblHeader/>
        </w:trPr>
        <w:tc>
          <w:tcPr>
            <w:tcW w:w="512" w:type="pct"/>
            <w:tcBorders>
              <w:top w:val="single" w:color="auto" w:sz="4" w:space="0"/>
              <w:left w:val="single" w:color="auto" w:sz="4" w:space="0"/>
              <w:bottom w:val="single" w:color="auto" w:sz="4" w:space="0"/>
              <w:right w:val="single" w:color="auto" w:sz="4" w:space="0"/>
            </w:tcBorders>
            <w:noWrap w:val="0"/>
            <w:vAlign w:val="center"/>
          </w:tcPr>
          <w:p w14:paraId="0E768F1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姓 名</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265CA2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从事</w:t>
            </w:r>
          </w:p>
          <w:p w14:paraId="2F4CD46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专业</w:t>
            </w:r>
          </w:p>
        </w:tc>
        <w:tc>
          <w:tcPr>
            <w:tcW w:w="697" w:type="pct"/>
            <w:tcBorders>
              <w:top w:val="single" w:color="auto" w:sz="4" w:space="0"/>
              <w:left w:val="single" w:color="auto" w:sz="4" w:space="0"/>
              <w:bottom w:val="single" w:color="auto" w:sz="4" w:space="0"/>
              <w:right w:val="single" w:color="auto" w:sz="4" w:space="0"/>
            </w:tcBorders>
            <w:noWrap w:val="0"/>
            <w:vAlign w:val="center"/>
          </w:tcPr>
          <w:p w14:paraId="4B81693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职称/</w:t>
            </w:r>
          </w:p>
          <w:p w14:paraId="6102296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职位</w:t>
            </w:r>
          </w:p>
        </w:tc>
        <w:tc>
          <w:tcPr>
            <w:tcW w:w="1310" w:type="pct"/>
            <w:tcBorders>
              <w:top w:val="single" w:color="auto" w:sz="4" w:space="0"/>
              <w:left w:val="single" w:color="auto" w:sz="4" w:space="0"/>
              <w:bottom w:val="single" w:color="auto" w:sz="4" w:space="0"/>
              <w:right w:val="single" w:color="auto" w:sz="4" w:space="0"/>
            </w:tcBorders>
            <w:noWrap w:val="0"/>
            <w:vAlign w:val="center"/>
          </w:tcPr>
          <w:p w14:paraId="0C3EA75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工作单位</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A705B9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主要负责工作</w:t>
            </w:r>
          </w:p>
        </w:tc>
      </w:tr>
      <w:tr w14:paraId="0023CE9D">
        <w:tblPrEx>
          <w:tblCellMar>
            <w:top w:w="0" w:type="dxa"/>
            <w:left w:w="108" w:type="dxa"/>
            <w:bottom w:w="0" w:type="dxa"/>
            <w:right w:w="108" w:type="dxa"/>
          </w:tblCellMar>
        </w:tblPrEx>
        <w:trPr>
          <w:cantSplit/>
          <w:trHeight w:val="732"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D0EE55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刘宇河</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4F088B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0" w:name="OLE_LINK1"/>
            <w:r>
              <w:rPr>
                <w:rFonts w:hint="eastAsia" w:ascii="仿宋_GB2312" w:hAnsi="仿宋_GB2312" w:eastAsia="仿宋_GB2312" w:cs="仿宋_GB2312"/>
                <w:b w:val="0"/>
                <w:bCs w:val="0"/>
                <w:color w:val="auto"/>
                <w:sz w:val="24"/>
              </w:rPr>
              <w:t>中医骨伤科</w:t>
            </w:r>
            <w:bookmarkEnd w:id="0"/>
          </w:p>
        </w:tc>
        <w:tc>
          <w:tcPr>
            <w:tcW w:w="697" w:type="pct"/>
            <w:tcBorders>
              <w:top w:val="single" w:color="000000" w:sz="2" w:space="0"/>
              <w:left w:val="single" w:color="auto" w:sz="4" w:space="0"/>
              <w:bottom w:val="single" w:color="auto" w:sz="4" w:space="0"/>
              <w:right w:val="single" w:color="auto" w:sz="4" w:space="0"/>
            </w:tcBorders>
            <w:noWrap w:val="0"/>
            <w:vAlign w:val="center"/>
          </w:tcPr>
          <w:p w14:paraId="20E5E3E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auto" w:sz="4" w:space="0"/>
              <w:right w:val="single" w:color="auto" w:sz="4" w:space="0"/>
            </w:tcBorders>
            <w:noWrap w:val="0"/>
            <w:vAlign w:val="center"/>
          </w:tcPr>
          <w:p w14:paraId="17463C8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 w:name="OLE_LINK2"/>
            <w:r>
              <w:rPr>
                <w:rFonts w:hint="eastAsia" w:ascii="仿宋_GB2312" w:hAnsi="仿宋_GB2312" w:eastAsia="仿宋_GB2312" w:cs="仿宋_GB2312"/>
                <w:b w:val="0"/>
                <w:bCs w:val="0"/>
                <w:color w:val="auto"/>
                <w:sz w:val="24"/>
              </w:rPr>
              <w:t>玉林市中医医院</w:t>
            </w:r>
            <w:bookmarkEnd w:id="1"/>
          </w:p>
        </w:tc>
        <w:tc>
          <w:tcPr>
            <w:tcW w:w="1697" w:type="pct"/>
            <w:tcBorders>
              <w:top w:val="single" w:color="auto" w:sz="4" w:space="0"/>
              <w:left w:val="single" w:color="auto" w:sz="4" w:space="0"/>
              <w:bottom w:val="single" w:color="auto" w:sz="4" w:space="0"/>
              <w:right w:val="single" w:color="auto" w:sz="4" w:space="0"/>
            </w:tcBorders>
            <w:noWrap w:val="0"/>
            <w:vAlign w:val="center"/>
          </w:tcPr>
          <w:p w14:paraId="585A275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统筹主持标准编制工作</w:t>
            </w:r>
          </w:p>
        </w:tc>
      </w:tr>
      <w:tr w14:paraId="517F9B9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77C5BF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黎展文</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63B914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auto" w:sz="4" w:space="0"/>
              <w:right w:val="single" w:color="auto" w:sz="4" w:space="0"/>
            </w:tcBorders>
            <w:noWrap w:val="0"/>
            <w:vAlign w:val="center"/>
          </w:tcPr>
          <w:p w14:paraId="0C94C56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 w:name="OLE_LINK3"/>
            <w:r>
              <w:rPr>
                <w:rFonts w:hint="eastAsia" w:ascii="仿宋_GB2312" w:hAnsi="仿宋_GB2312" w:eastAsia="仿宋_GB2312" w:cs="仿宋_GB2312"/>
                <w:b w:val="0"/>
                <w:bCs w:val="0"/>
                <w:color w:val="auto"/>
                <w:sz w:val="24"/>
              </w:rPr>
              <w:t>主任医师</w:t>
            </w:r>
            <w:bookmarkEnd w:id="2"/>
          </w:p>
        </w:tc>
        <w:tc>
          <w:tcPr>
            <w:tcW w:w="1310" w:type="pct"/>
            <w:tcBorders>
              <w:top w:val="single" w:color="000000" w:sz="2" w:space="0"/>
              <w:left w:val="single" w:color="auto" w:sz="4" w:space="0"/>
              <w:bottom w:val="single" w:color="auto" w:sz="4" w:space="0"/>
              <w:right w:val="single" w:color="auto" w:sz="4" w:space="0"/>
            </w:tcBorders>
            <w:noWrap w:val="0"/>
            <w:vAlign w:val="center"/>
          </w:tcPr>
          <w:p w14:paraId="338D7DB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C91ACA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参与标准编制工作，组织人员进行标准发布后的宣贯培训。</w:t>
            </w:r>
          </w:p>
        </w:tc>
      </w:tr>
      <w:tr w14:paraId="19AD6C5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9C804C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廖信祥</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6EA14F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auto" w:sz="4" w:space="0"/>
              <w:right w:val="single" w:color="auto" w:sz="4" w:space="0"/>
            </w:tcBorders>
            <w:noWrap w:val="0"/>
            <w:vAlign w:val="center"/>
          </w:tcPr>
          <w:p w14:paraId="1701108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 w:name="OLE_LINK4"/>
            <w:r>
              <w:rPr>
                <w:rFonts w:hint="eastAsia" w:ascii="仿宋_GB2312" w:hAnsi="仿宋_GB2312" w:eastAsia="仿宋_GB2312" w:cs="仿宋_GB2312"/>
                <w:b w:val="0"/>
                <w:bCs w:val="0"/>
                <w:color w:val="auto"/>
                <w:sz w:val="24"/>
              </w:rPr>
              <w:t>主任医师</w:t>
            </w:r>
            <w:bookmarkEnd w:id="3"/>
          </w:p>
        </w:tc>
        <w:tc>
          <w:tcPr>
            <w:tcW w:w="1310" w:type="pct"/>
            <w:tcBorders>
              <w:top w:val="single" w:color="000000" w:sz="2" w:space="0"/>
              <w:left w:val="single" w:color="auto" w:sz="4" w:space="0"/>
              <w:bottom w:val="single" w:color="auto" w:sz="4" w:space="0"/>
              <w:right w:val="single" w:color="auto" w:sz="4" w:space="0"/>
            </w:tcBorders>
            <w:noWrap w:val="0"/>
            <w:vAlign w:val="center"/>
          </w:tcPr>
          <w:p w14:paraId="346921D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 w:name="OLE_LINK5"/>
            <w:r>
              <w:rPr>
                <w:rFonts w:hint="eastAsia" w:ascii="仿宋_GB2312" w:hAnsi="仿宋_GB2312" w:eastAsia="仿宋_GB2312" w:cs="仿宋_GB2312"/>
                <w:b w:val="0"/>
                <w:bCs w:val="0"/>
                <w:color w:val="auto"/>
                <w:sz w:val="24"/>
              </w:rPr>
              <w:t>玉林市中医医院</w:t>
            </w:r>
            <w:bookmarkEnd w:id="4"/>
          </w:p>
        </w:tc>
        <w:tc>
          <w:tcPr>
            <w:tcW w:w="1697" w:type="pct"/>
            <w:tcBorders>
              <w:top w:val="single" w:color="auto" w:sz="4" w:space="0"/>
              <w:left w:val="single" w:color="auto" w:sz="4" w:space="0"/>
              <w:bottom w:val="single" w:color="auto" w:sz="4" w:space="0"/>
              <w:right w:val="single" w:color="auto" w:sz="4" w:space="0"/>
            </w:tcBorders>
            <w:noWrap w:val="0"/>
            <w:vAlign w:val="center"/>
          </w:tcPr>
          <w:p w14:paraId="63ED47B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参与标准文本及编制说明编写，质量控制。</w:t>
            </w:r>
          </w:p>
        </w:tc>
      </w:tr>
      <w:tr w14:paraId="736BC03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A6AEAA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安平</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D94CBA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AB1E51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5" w:name="OLE_LINK6"/>
            <w:r>
              <w:rPr>
                <w:rFonts w:hint="eastAsia" w:ascii="仿宋_GB2312" w:hAnsi="仿宋_GB2312" w:eastAsia="仿宋_GB2312" w:cs="仿宋_GB2312"/>
                <w:b w:val="0"/>
                <w:bCs w:val="0"/>
                <w:color w:val="auto"/>
                <w:sz w:val="24"/>
              </w:rPr>
              <w:t>主任医师</w:t>
            </w:r>
            <w:bookmarkEnd w:id="5"/>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6BED3F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南宁市妇幼保健院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ABCF9D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B59AC60">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DA766C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王嘉嘉</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EFDBB1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E7B84B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1EB90B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904E4E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6" w:name="OLE_LINK42"/>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6"/>
          </w:p>
        </w:tc>
      </w:tr>
      <w:tr w14:paraId="77F7250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FAC005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李洁莲</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968503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5AF775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5D5A5F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81D78E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EEE610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77FE0D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王芬</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104D03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2E6B2D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A84463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C8867F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F8E5AC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7390B6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覃靖</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B5244E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7934FA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1D21E4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47BE62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F28619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F49485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庞玉智</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101ECE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EF0960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9897E0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E105FF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E9F90A9">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368AB0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滕居赞</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640A03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B8CE59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7" w:name="OLE_LINK7"/>
            <w:r>
              <w:rPr>
                <w:rFonts w:hint="eastAsia" w:ascii="仿宋_GB2312" w:hAnsi="仿宋_GB2312" w:eastAsia="仿宋_GB2312" w:cs="仿宋_GB2312"/>
                <w:b w:val="0"/>
                <w:bCs w:val="0"/>
                <w:color w:val="auto"/>
                <w:sz w:val="24"/>
              </w:rPr>
              <w:t>主任医师</w:t>
            </w:r>
            <w:bookmarkEnd w:id="7"/>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90C3FA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扶绥县中医医院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4719A6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4BBD0898">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68152F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郭勇飞</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BD1FFE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85E0CD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8" w:name="OLE_LINK9"/>
            <w:r>
              <w:rPr>
                <w:rFonts w:hint="eastAsia" w:ascii="仿宋_GB2312" w:hAnsi="仿宋_GB2312" w:eastAsia="仿宋_GB2312" w:cs="仿宋_GB2312"/>
                <w:b w:val="0"/>
                <w:bCs w:val="0"/>
                <w:color w:val="auto"/>
                <w:sz w:val="24"/>
              </w:rPr>
              <w:t>主任医师</w:t>
            </w:r>
            <w:bookmarkEnd w:id="8"/>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43C105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梧州市中医医院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2EC297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B941302">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76FDB8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陈广辉</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9FE304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DF31DF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EFCCDA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广西中医药大学第一附属医院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D64F0A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9" w:name="OLE_LINK8"/>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9"/>
          </w:p>
        </w:tc>
      </w:tr>
      <w:tr w14:paraId="1F299E7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02683B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王伟</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ACAF2E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7A286E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D11CC1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广西中医药大学第一附属医院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318794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0" w:name="OLE_LINK10"/>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0"/>
          </w:p>
        </w:tc>
      </w:tr>
      <w:tr w14:paraId="0D5C72C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CED980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梁家王</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303E52D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58C777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E3ED77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10DF9B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B9AF25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2BF7C1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钟正任</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39DA79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3FE9BE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874E0C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B5AC3F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16B2F05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E683CA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林利城</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36F069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中医脑病科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921316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1" w:name="OLE_LINK13"/>
            <w:r>
              <w:rPr>
                <w:rFonts w:hint="eastAsia" w:ascii="仿宋_GB2312" w:hAnsi="仿宋_GB2312" w:eastAsia="仿宋_GB2312" w:cs="仿宋_GB2312"/>
                <w:b w:val="0"/>
                <w:bCs w:val="0"/>
                <w:color w:val="auto"/>
                <w:sz w:val="24"/>
              </w:rPr>
              <w:t>副主任医师</w:t>
            </w:r>
            <w:bookmarkEnd w:id="11"/>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3E6C45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钦州市中医医院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A414AC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6CE57A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C21718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蒋泰媛</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3A7463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5C8857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2" w:name="OLE_LINK12"/>
            <w:r>
              <w:rPr>
                <w:rFonts w:hint="eastAsia" w:ascii="仿宋_GB2312" w:hAnsi="仿宋_GB2312" w:eastAsia="仿宋_GB2312" w:cs="仿宋_GB2312"/>
                <w:b w:val="0"/>
                <w:bCs w:val="0"/>
                <w:color w:val="auto"/>
                <w:sz w:val="24"/>
              </w:rPr>
              <w:t>主任医师</w:t>
            </w:r>
            <w:bookmarkEnd w:id="12"/>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263833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黔东南州中医医院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719B6E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3" w:name="OLE_LINK11"/>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3"/>
          </w:p>
        </w:tc>
      </w:tr>
      <w:tr w14:paraId="0A5963B2">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305607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黄吉辉</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7E2B03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BDF3C5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4" w:name="OLE_LINK14"/>
            <w:r>
              <w:rPr>
                <w:rFonts w:hint="eastAsia" w:ascii="仿宋_GB2312" w:hAnsi="仿宋_GB2312" w:eastAsia="仿宋_GB2312" w:cs="仿宋_GB2312"/>
                <w:b w:val="0"/>
                <w:bCs w:val="0"/>
                <w:color w:val="auto"/>
                <w:sz w:val="24"/>
              </w:rPr>
              <w:t>主任医师</w:t>
            </w:r>
            <w:bookmarkEnd w:id="14"/>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E6F0C8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柳州市柳江区中医医院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A9F6D9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5" w:name="OLE_LINK15"/>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5"/>
          </w:p>
        </w:tc>
      </w:tr>
      <w:tr w14:paraId="0AB34E14">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E6EA21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黄格朗</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CB5052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81B836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6" w:name="OLE_LINK16"/>
            <w:r>
              <w:rPr>
                <w:rFonts w:hint="eastAsia" w:ascii="仿宋_GB2312" w:hAnsi="仿宋_GB2312" w:eastAsia="仿宋_GB2312" w:cs="仿宋_GB2312"/>
                <w:b w:val="0"/>
                <w:bCs w:val="0"/>
                <w:color w:val="auto"/>
                <w:sz w:val="24"/>
              </w:rPr>
              <w:t>主任医师</w:t>
            </w:r>
            <w:bookmarkEnd w:id="16"/>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C1F470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贵港市人民医院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C92540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7" w:name="OLE_LINK20"/>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7"/>
          </w:p>
        </w:tc>
      </w:tr>
      <w:tr w14:paraId="625C56E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94BD8F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农玉莺</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E98B90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壮医学科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102370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B1F631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那坡县中医医院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EA8436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F751B3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B86891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雷帮林</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377E6E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7D1D01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8" w:name="OLE_LINK19"/>
            <w:r>
              <w:rPr>
                <w:rFonts w:hint="eastAsia" w:ascii="仿宋_GB2312" w:hAnsi="仿宋_GB2312" w:eastAsia="仿宋_GB2312" w:cs="仿宋_GB2312"/>
                <w:b w:val="0"/>
                <w:bCs w:val="0"/>
                <w:color w:val="auto"/>
                <w:sz w:val="24"/>
              </w:rPr>
              <w:t>副主任医师</w:t>
            </w:r>
            <w:bookmarkEnd w:id="18"/>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B32DDE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湛江市第一中医医院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611DEB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9" w:name="OLE_LINK38"/>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9"/>
          </w:p>
        </w:tc>
      </w:tr>
      <w:tr w14:paraId="315B28F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7F0BBE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陈甲秀</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2142E9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56708F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E448C3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0A3B8C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D516A3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B60D37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覃焕艺</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28AA7C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中医针灸科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7114F2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0" w:name="OLE_LINK17"/>
            <w:r>
              <w:rPr>
                <w:rFonts w:hint="eastAsia" w:ascii="仿宋_GB2312" w:hAnsi="仿宋_GB2312" w:eastAsia="仿宋_GB2312" w:cs="仿宋_GB2312"/>
                <w:b w:val="0"/>
                <w:bCs w:val="0"/>
                <w:color w:val="auto"/>
                <w:sz w:val="24"/>
              </w:rPr>
              <w:t>主任医师</w:t>
            </w:r>
            <w:bookmarkEnd w:id="20"/>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5646DB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高州市中医院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3B9411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81E0D19">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B6A329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李海</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DF7E16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1ABF96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FA6270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砚山县妇幼保健院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52E673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1FD64E9A">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982302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杨武芬</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6A1ED9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6F4E4E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894E44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砚山县妇幼保健院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27B7E2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1" w:name="OLE_LINK45"/>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21"/>
          </w:p>
        </w:tc>
      </w:tr>
      <w:tr w14:paraId="3A0EA02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AD7978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覃婕</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69D018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833B00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8A22C7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那坡县中医医院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29413B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460E7F5">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F19F0B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陈建华</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57CD01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中医全科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96F36F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2" w:name="OLE_LINK21"/>
            <w:r>
              <w:rPr>
                <w:rFonts w:hint="eastAsia" w:ascii="仿宋_GB2312" w:hAnsi="仿宋_GB2312" w:eastAsia="仿宋_GB2312" w:cs="仿宋_GB2312"/>
                <w:b w:val="0"/>
                <w:bCs w:val="0"/>
                <w:color w:val="auto"/>
                <w:sz w:val="24"/>
              </w:rPr>
              <w:t>副主任医师</w:t>
            </w:r>
            <w:bookmarkEnd w:id="22"/>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CD04F2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3" w:name="OLE_LINK18"/>
            <w:r>
              <w:rPr>
                <w:rFonts w:hint="eastAsia" w:ascii="仿宋_GB2312" w:hAnsi="仿宋_GB2312" w:eastAsia="仿宋_GB2312" w:cs="仿宋_GB2312"/>
                <w:b w:val="0"/>
                <w:bCs w:val="0"/>
                <w:color w:val="auto"/>
                <w:sz w:val="24"/>
              </w:rPr>
              <w:t>会理市妇幼保健院</w:t>
            </w:r>
            <w:bookmarkEnd w:id="23"/>
          </w:p>
        </w:tc>
        <w:tc>
          <w:tcPr>
            <w:tcW w:w="1697" w:type="pct"/>
            <w:tcBorders>
              <w:top w:val="single" w:color="auto" w:sz="4" w:space="0"/>
              <w:left w:val="single" w:color="auto" w:sz="4" w:space="0"/>
              <w:bottom w:val="single" w:color="auto" w:sz="4" w:space="0"/>
              <w:right w:val="single" w:color="auto" w:sz="4" w:space="0"/>
            </w:tcBorders>
            <w:noWrap w:val="0"/>
            <w:vAlign w:val="center"/>
          </w:tcPr>
          <w:p w14:paraId="5A633B5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08344B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EA2AFC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曾春</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AD5ACE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AC0C9D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FA0E7A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会理市妇幼保健院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5B6292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3FDC9A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F0AC03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龚斌</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6B404B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4" w:name="OLE_LINK43"/>
            <w:r>
              <w:rPr>
                <w:rFonts w:hint="eastAsia" w:ascii="仿宋_GB2312" w:hAnsi="仿宋_GB2312" w:eastAsia="仿宋_GB2312" w:cs="仿宋_GB2312"/>
                <w:b w:val="0"/>
                <w:bCs w:val="0"/>
                <w:color w:val="auto"/>
                <w:sz w:val="24"/>
              </w:rPr>
              <w:t>中西医</w:t>
            </w:r>
            <w:bookmarkEnd w:id="24"/>
            <w:r>
              <w:rPr>
                <w:rFonts w:hint="eastAsia" w:ascii="仿宋_GB2312" w:hAnsi="仿宋_GB2312" w:eastAsia="仿宋_GB2312" w:cs="仿宋_GB2312"/>
                <w:b w:val="0"/>
                <w:bCs w:val="0"/>
                <w:color w:val="auto"/>
                <w:sz w:val="24"/>
              </w:rPr>
              <w:t>内科急症</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89BCB3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BE17C3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广西中医药大学第二附属医院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B3FD4E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30F738A">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A76618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刘利华</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C9F3DF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针灸推拿学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87D82E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5" w:name="OLE_LINK23"/>
            <w:r>
              <w:rPr>
                <w:rFonts w:hint="eastAsia" w:ascii="仿宋_GB2312" w:hAnsi="仿宋_GB2312" w:eastAsia="仿宋_GB2312" w:cs="仿宋_GB2312"/>
                <w:b w:val="0"/>
                <w:bCs w:val="0"/>
                <w:color w:val="auto"/>
                <w:sz w:val="24"/>
              </w:rPr>
              <w:t>副主任医师</w:t>
            </w:r>
            <w:bookmarkEnd w:id="25"/>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5A5ABE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6" w:name="OLE_LINK22"/>
            <w:r>
              <w:rPr>
                <w:rFonts w:hint="eastAsia" w:ascii="仿宋_GB2312" w:hAnsi="仿宋_GB2312" w:eastAsia="仿宋_GB2312" w:cs="仿宋_GB2312"/>
                <w:b w:val="0"/>
                <w:bCs w:val="0"/>
                <w:color w:val="auto"/>
                <w:sz w:val="24"/>
              </w:rPr>
              <w:t>德昌县中医医院</w:t>
            </w:r>
            <w:bookmarkEnd w:id="26"/>
          </w:p>
        </w:tc>
        <w:tc>
          <w:tcPr>
            <w:tcW w:w="1697" w:type="pct"/>
            <w:tcBorders>
              <w:top w:val="single" w:color="auto" w:sz="4" w:space="0"/>
              <w:left w:val="single" w:color="auto" w:sz="4" w:space="0"/>
              <w:bottom w:val="single" w:color="auto" w:sz="4" w:space="0"/>
              <w:right w:val="single" w:color="auto" w:sz="4" w:space="0"/>
            </w:tcBorders>
            <w:noWrap w:val="0"/>
            <w:vAlign w:val="center"/>
          </w:tcPr>
          <w:p w14:paraId="4138CF5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A700C3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6DB644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廖勇利</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C12546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中西医结合外科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3BD834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AE98DA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德昌县中医医院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8404FF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616EDDC">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E06FA3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莫勇山</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E82C9C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6243B9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407E18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广西壮族自治区第一荣军优抚医院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747BEC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D66FDA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0AD83C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朱超平</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823081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E43105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5B0A4C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平南县同安骨科医院有限公司</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475020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4F6F663A">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824A55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吴威强</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C8AEF4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2C9D55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7" w:name="OLE_LINK46"/>
            <w:r>
              <w:rPr>
                <w:rFonts w:hint="eastAsia" w:ascii="仿宋_GB2312" w:hAnsi="仿宋_GB2312" w:eastAsia="仿宋_GB2312" w:cs="仿宋_GB2312"/>
                <w:b w:val="0"/>
                <w:bCs w:val="0"/>
                <w:color w:val="auto"/>
                <w:sz w:val="24"/>
              </w:rPr>
              <w:t>副主任医师</w:t>
            </w:r>
            <w:bookmarkEnd w:id="27"/>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E005DC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平南县同安骨科医院有限公司</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04923B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C81F88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0A1F59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谢胜芳</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AF099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0E1651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B81AC7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8" w:name="OLE_LINK24"/>
            <w:r>
              <w:rPr>
                <w:rFonts w:hint="eastAsia" w:ascii="仿宋_GB2312" w:hAnsi="仿宋_GB2312" w:eastAsia="仿宋_GB2312" w:cs="仿宋_GB2312"/>
                <w:b w:val="0"/>
                <w:bCs w:val="0"/>
                <w:color w:val="auto"/>
                <w:sz w:val="24"/>
              </w:rPr>
              <w:t>平南县同安骨科医院有限公司</w:t>
            </w:r>
            <w:bookmarkEnd w:id="28"/>
          </w:p>
        </w:tc>
        <w:tc>
          <w:tcPr>
            <w:tcW w:w="1697" w:type="pct"/>
            <w:tcBorders>
              <w:top w:val="single" w:color="auto" w:sz="4" w:space="0"/>
              <w:left w:val="single" w:color="auto" w:sz="4" w:space="0"/>
              <w:bottom w:val="single" w:color="auto" w:sz="4" w:space="0"/>
              <w:right w:val="single" w:color="auto" w:sz="4" w:space="0"/>
            </w:tcBorders>
            <w:noWrap w:val="0"/>
            <w:vAlign w:val="center"/>
          </w:tcPr>
          <w:p w14:paraId="22659C1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9" w:name="OLE_LINK25"/>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29"/>
          </w:p>
        </w:tc>
      </w:tr>
      <w:tr w14:paraId="16A6A345">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0EEA53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林连朝</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BE4559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82F529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68A6E1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大化瑶族自治县妇幼保健院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0C5B05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7C0683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B15F35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钟火林</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DE1222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0" w:name="OLE_LINK26"/>
            <w:r>
              <w:rPr>
                <w:rFonts w:hint="eastAsia" w:ascii="仿宋_GB2312" w:hAnsi="仿宋_GB2312" w:eastAsia="仿宋_GB2312" w:cs="仿宋_GB2312"/>
                <w:b w:val="0"/>
                <w:bCs w:val="0"/>
                <w:color w:val="auto"/>
                <w:sz w:val="24"/>
              </w:rPr>
              <w:t>中医骨伤科</w:t>
            </w:r>
            <w:bookmarkEnd w:id="30"/>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260634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5C3BBB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梧州市中医医院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6CB204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1" w:name="OLE_LINK27"/>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1"/>
          </w:p>
        </w:tc>
      </w:tr>
      <w:tr w14:paraId="0FD8625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7ABD2A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李广森</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891C99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DB37E4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5E16F4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北流市人民医院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609366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01D6F9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F770AE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主伟将</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9AED56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38E3A3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D4F471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百色市中医医院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838998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2" w:name="OLE_LINK28"/>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2"/>
          </w:p>
        </w:tc>
      </w:tr>
      <w:tr w14:paraId="12996D05">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1AB3C5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黄中兴</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B79E4C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8AA94B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6D863C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鹿寨县中医医院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616959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0217C0A">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EFC6B2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唐生云</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C1CF20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700450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3BADBF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南宁市妇幼保健院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932BE2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D5764F0">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AB700A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林观梅</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3A5806C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壮医科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984216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F9A37E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南宁市妇幼保健院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E23380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3EE173D">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F24FEF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盛昌敏</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AA920F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27FA8F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3" w:name="OLE_LINK29"/>
            <w:r>
              <w:rPr>
                <w:rFonts w:hint="eastAsia" w:ascii="仿宋_GB2312" w:hAnsi="仿宋_GB2312" w:eastAsia="仿宋_GB2312" w:cs="仿宋_GB2312"/>
                <w:b w:val="0"/>
                <w:bCs w:val="0"/>
                <w:color w:val="auto"/>
                <w:sz w:val="24"/>
              </w:rPr>
              <w:t>副主任医师</w:t>
            </w:r>
            <w:bookmarkEnd w:id="33"/>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20D1B7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南宁市妇幼保健院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3A4B7B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4" w:name="OLE_LINK30"/>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4"/>
          </w:p>
        </w:tc>
      </w:tr>
      <w:tr w14:paraId="6EE3EA0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9CDF2F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何艳娜</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DB2AE6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CF4A90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92E58D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大化瑶族自治县妇幼保健院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959427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14734669">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DA60DF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李淑庆</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AA217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296E3B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w:t>
            </w:r>
            <w:bookmarkStart w:id="35" w:name="OLE_LINK31"/>
            <w:r>
              <w:rPr>
                <w:rFonts w:hint="eastAsia" w:ascii="仿宋_GB2312" w:hAnsi="仿宋_GB2312" w:eastAsia="仿宋_GB2312" w:cs="仿宋_GB2312"/>
                <w:b w:val="0"/>
                <w:bCs w:val="0"/>
                <w:color w:val="auto"/>
                <w:sz w:val="24"/>
              </w:rPr>
              <w:t>主任医师</w:t>
            </w:r>
            <w:bookmarkEnd w:id="35"/>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331CB0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大化瑶族自治县妇幼保健院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8CFD5E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6" w:name="OLE_LINK32"/>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6"/>
          </w:p>
        </w:tc>
      </w:tr>
      <w:tr w14:paraId="31E00C48">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112997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黄伟毅</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B0373F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FC1891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70B134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田东县中医医院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6CAAF0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B94DE7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6098F5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黄作醒</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7ADC3B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02047E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7" w:name="OLE_LINK33"/>
            <w:r>
              <w:rPr>
                <w:rFonts w:hint="eastAsia" w:ascii="仿宋_GB2312" w:hAnsi="仿宋_GB2312" w:eastAsia="仿宋_GB2312" w:cs="仿宋_GB2312"/>
                <w:b w:val="0"/>
                <w:bCs w:val="0"/>
                <w:color w:val="auto"/>
                <w:sz w:val="24"/>
              </w:rPr>
              <w:t>副主任医师</w:t>
            </w:r>
            <w:bookmarkEnd w:id="37"/>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237B1E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田东县中医医院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DD1A39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8" w:name="OLE_LINK34"/>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8"/>
          </w:p>
        </w:tc>
      </w:tr>
      <w:tr w14:paraId="108F8FA0">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0713F3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朱永锦</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32B531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9" w:name="OLE_LINK35"/>
            <w:r>
              <w:rPr>
                <w:rFonts w:hint="eastAsia" w:ascii="仿宋_GB2312" w:hAnsi="仿宋_GB2312" w:eastAsia="仿宋_GB2312" w:cs="仿宋_GB2312"/>
                <w:b w:val="0"/>
                <w:bCs w:val="0"/>
                <w:color w:val="auto"/>
                <w:sz w:val="24"/>
              </w:rPr>
              <w:t>中医康复科</w:t>
            </w:r>
            <w:bookmarkEnd w:id="39"/>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3B4562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DCADEE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玉林市第三人民医院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62E632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0" w:name="OLE_LINK36"/>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0"/>
          </w:p>
        </w:tc>
      </w:tr>
      <w:tr w14:paraId="64546E6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4E0AAF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黄庆</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817AC0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53FF1D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346F65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天等县中医医院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0D88DD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1" w:name="OLE_LINK37"/>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1"/>
          </w:p>
        </w:tc>
      </w:tr>
      <w:tr w14:paraId="0A772F22">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C24372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王钿</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392AEE1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5DE871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7D7C48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那坡县中医医院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1B2AB7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2" w:name="OLE_LINK39"/>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2"/>
          </w:p>
        </w:tc>
      </w:tr>
      <w:tr w14:paraId="1E1A03D8">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780002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韦英成</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55CC87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B2DB48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127C2C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贵港市中医医院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86E0D6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1B885BE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828DCC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廖庆辉</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3E58683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0FCE30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D1D257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玉林市中西医结合骨科医院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28D11D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3" w:name="OLE_LINK40"/>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3"/>
          </w:p>
        </w:tc>
      </w:tr>
      <w:tr w14:paraId="5F37FC64">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BEDB83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刘一兵</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BFB98C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ADF751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0C983D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北流市人民医院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C9D95D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4" w:name="OLE_LINK41"/>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4"/>
          </w:p>
        </w:tc>
      </w:tr>
      <w:tr w14:paraId="533A1BC0">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FE15D8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何云</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C569C3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C703F9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159B4E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842114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1F6B5B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1F730B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周一庆</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5E207A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护理学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71CE02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主任护师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0ABB5A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B73190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950D609">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7F280E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李利群</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61D7FC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护理学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CB774C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副主任护师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6B9B61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AD0F8D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5674A1C">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600600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肖敏</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0E04C7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EF88D9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9DBDC6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F71F87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320CDA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B43D15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李智华</w:t>
            </w:r>
          </w:p>
        </w:tc>
        <w:tc>
          <w:tcPr>
            <w:tcW w:w="1437" w:type="dxa"/>
            <w:tcBorders>
              <w:top w:val="single" w:color="auto" w:sz="4" w:space="0"/>
              <w:left w:val="single" w:color="auto" w:sz="4" w:space="0"/>
              <w:bottom w:val="single" w:color="auto" w:sz="4" w:space="0"/>
              <w:right w:val="single" w:color="auto" w:sz="4" w:space="0"/>
            </w:tcBorders>
            <w:noWrap w:val="0"/>
            <w:vAlign w:val="center"/>
          </w:tcPr>
          <w:p w14:paraId="66890F9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计算科学与应用</w:t>
            </w:r>
          </w:p>
        </w:tc>
        <w:tc>
          <w:tcPr>
            <w:tcW w:w="1278" w:type="dxa"/>
            <w:tcBorders>
              <w:top w:val="single" w:color="000000" w:sz="2" w:space="0"/>
              <w:left w:val="single" w:color="auto" w:sz="4" w:space="0"/>
              <w:bottom w:val="single" w:color="000000" w:sz="2" w:space="0"/>
              <w:right w:val="single" w:color="auto" w:sz="4" w:space="0"/>
            </w:tcBorders>
            <w:noWrap w:val="0"/>
            <w:vAlign w:val="center"/>
          </w:tcPr>
          <w:p w14:paraId="73F606E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高级工程师</w:t>
            </w:r>
          </w:p>
        </w:tc>
        <w:tc>
          <w:tcPr>
            <w:tcW w:w="2402" w:type="dxa"/>
            <w:tcBorders>
              <w:top w:val="single" w:color="000000" w:sz="2" w:space="0"/>
              <w:left w:val="single" w:color="auto" w:sz="4" w:space="0"/>
              <w:bottom w:val="single" w:color="000000" w:sz="2" w:space="0"/>
              <w:right w:val="single" w:color="auto" w:sz="4" w:space="0"/>
            </w:tcBorders>
            <w:noWrap w:val="0"/>
            <w:vAlign w:val="center"/>
          </w:tcPr>
          <w:p w14:paraId="47CD12C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0476D6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4D2792B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0D292D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周诗澜</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F4C824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4C6F0C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CED008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544E29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18BE2A3D">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93351B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刘文惠</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5D14B7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13A2CB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59A324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E4B36A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65634C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3744A1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黄愉凡</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1C619A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2B5F0C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A7D3DE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D5EA52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9D2B4D9">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5FDF50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蒋婷婷</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5CA65D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2AC377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87088A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F1173B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7042479">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A26F90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黄琪琛</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1B1C2D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97EAB6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BE7642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989CCB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12EB7609">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7BFE32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丘洋</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1CF392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4D61B5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56CC06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2768F8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4397C2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A85361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卢科权</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178847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38972D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1A163A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F9C0A9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54FA57D">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A38C77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林章利</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1FF502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C1BF90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1523A4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9384CE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804C954">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C231ED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刘明豪</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2246E9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CE8A66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50779D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6FB047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B94B4F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D53CBD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庞金海</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C959AE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7DD6DE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609CC4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3B0170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1F4D31C5">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CFEFA8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钟潇羽</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A42DFD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BEF22B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DA2B44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669DE2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bl>
    <w:p w14:paraId="2C255282">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28"/>
        </w:rPr>
      </w:pPr>
    </w:p>
    <w:p w14:paraId="6BE1CEB3">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二、制定标准的必要性和意义</w:t>
      </w:r>
    </w:p>
    <w:p w14:paraId="50C39573">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国家中医药管理局关于印发《中医药标准化行动计划(2024一2026年)》的通知要求，围绕重大疑难杂病、慢性病、传染性疾病以及中医优势病种，制修订一批中医、中西医结合预防、治疗、康复指南。研究建立中医医疗技术命名标准体系，发布一批中医医疗技术操作规范。完善少数民族医药标准体系，加快推进少数民族医药病证分类与代码、名词术语等标准的制定。</w:t>
      </w:r>
    </w:p>
    <w:p w14:paraId="2B19FDA5">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半月板是维持膝关节稳定、缓冲压力及分泌润滑的重要结构，一旦损伤将严重影响患者的运动功能与生活质量。随着全民健身运动的普及和人口老龄化进程的加速，半月板损伤的发病率呈现持续上升趋势。流行病学研究显示，在各类膝关节运动损伤中发病率最高，半月板手术约占膝关节运动损伤手术的一半。一般人群中，每10000人中有6至7人会发生半月板损伤。据相关研究数据，将2012年1月至2022年9月因半月板损伤就诊的1318例患者,进行流行病学特征分析。1318例半月板损伤患者,年龄为8～78岁,平均(37.8±11.8)岁，患者入院前病程平均为(17.6±36.4)个月;入院后选择手术治疗1156例,手术率为87.7％。半月板损伤患者的主要致伤原因随年龄段不同而有所不同,大多数患者选择手术治疗。</w:t>
      </w:r>
    </w:p>
    <w:p w14:paraId="7896E614">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中医在诊疗半月板损伤方面，有其独特的视角和方法体系。与西医主要关注解剖结构的修复不同，中医更注重人体整体的气血、经络和脏腑功能平衡。相关研究显示，中药联合膝关节镜治疗的有效率可高达97.44%，显著高于对照组的84.62%，患者在疼痛评分、关节功能评分及关节活动度方面均有显著改善。对于退行性半月板损伤患者，自拟活血利水汤联合关节镜术治疗可有效减轻术后早期肿胀，改善凝血功能，促进膝关节功能恢复。在中医非药物疗法方面，五禽戏联合针刺治疗的临床观察显示，总有效率达96.55%，可显著减轻患者疼痛，改善膝关节功能。</w:t>
      </w:r>
    </w:p>
    <w:p w14:paraId="5A9B1173">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在半月板损伤的治疗体系中，中医治疗的必要性体现在其“阶梯式”和“标本兼治”的独特价值上。对于大量一度和二度的轻度损伤患者，或不愿手术者，中医通过辨证论治，采用中药内服外敷、针灸推拿等方法活血化瘀、通络止痛，不仅是主要的保守治疗手段，更能避免手术创伤；对于必须手术的三度损伤患者，中医也起到重要作用，在术后早期介入以减轻肿痛、促进愈合，临床研究证实中西医结合康复能显著提高愈合率；更重要的是，中医强调整体观念，认为损伤根源常与“肝肾亏虚”有关，因此在治疗局部症状的同时调理脏腑功能，可以从根本上强壮筋骨、预防复发。简而言之，中医治疗的必要性在于填补了从受伤到手术之间的治疗空白，并深化了术后康复的内涵，为患者提供了一条真正意义上的标本兼治之路。</w:t>
      </w:r>
    </w:p>
    <w:p w14:paraId="579CA5F2">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尽管中医治疗半月板损伤具有不错的优势，但临床实践中存在诸多亟待规范的关键问题。例如，辨证分型标准不统一、中医特色非药物疗法的操作缺乏量化标准，手法理筋、针灸、推拿等技术要点、适应症选择、禁忌症界定多依赖医师个人经验，不仅影响疗效的稳定性，更存在因操作不当导致二次损伤的医疗风险。再次，保守治疗方法虽多，但疗效评判标准不统一，针对不同损伤类型的治疗路径缺少规范化的方案。</w:t>
      </w:r>
    </w:p>
    <w:p w14:paraId="64CFA7E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仿宋_GB2312" w:hAnsi="宋体" w:eastAsia="仿宋_GB2312"/>
          <w:color w:val="auto"/>
          <w:sz w:val="32"/>
          <w:szCs w:val="28"/>
        </w:rPr>
        <w:t>因此制定团体标准《半月板损伤中医诊疗规范》，以标准为抓手，统一规范半月板损伤中医诊疗要求，对提高半月板损伤中医诊疗水平，保障医疗安全、提升中医临床疗效具有重要意义。</w:t>
      </w:r>
      <w:r>
        <w:rPr>
          <w:rFonts w:hint="eastAsia" w:ascii="黑体" w:hAnsi="黑体" w:eastAsia="黑体" w:cs="仿宋_GB2312"/>
          <w:color w:val="auto"/>
          <w:sz w:val="32"/>
          <w:szCs w:val="32"/>
        </w:rPr>
        <w:t>三、主要起草过程</w:t>
      </w:r>
    </w:p>
    <w:p w14:paraId="0D6A5644">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olor w:val="auto"/>
          <w:sz w:val="32"/>
          <w:szCs w:val="28"/>
        </w:rPr>
      </w:pPr>
      <w:r>
        <w:rPr>
          <w:rFonts w:hint="eastAsia" w:ascii="楷体" w:hAnsi="楷体" w:eastAsia="楷体" w:cs="仿宋_GB2312"/>
          <w:b/>
          <w:color w:val="auto"/>
          <w:sz w:val="32"/>
          <w:szCs w:val="28"/>
        </w:rPr>
        <w:t>（一）成立标准编制工作组</w:t>
      </w:r>
    </w:p>
    <w:p w14:paraId="437C2B6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团体标准《半月板损伤中医诊疗规范》项目任务下达后</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玉林市中医医院</w:t>
      </w:r>
      <w:r>
        <w:rPr>
          <w:rFonts w:hint="eastAsia" w:ascii="仿宋_GB2312" w:hAnsi="宋体" w:eastAsia="仿宋_GB2312"/>
          <w:color w:val="auto"/>
          <w:sz w:val="32"/>
          <w:szCs w:val="28"/>
          <w:highlight w:val="none"/>
        </w:rPr>
        <w:t>成立了标准编制工作组，</w:t>
      </w:r>
      <w:r>
        <w:rPr>
          <w:rFonts w:hint="eastAsia" w:ascii="仿宋_GB2312" w:hAnsi="宋体"/>
          <w:color w:val="auto"/>
          <w:sz w:val="32"/>
          <w:szCs w:val="28"/>
          <w:highlight w:val="none"/>
          <w:lang w:val="en-US" w:eastAsia="zh-CN"/>
        </w:rPr>
        <w:t>并</w:t>
      </w:r>
      <w:r>
        <w:rPr>
          <w:rFonts w:hint="eastAsia" w:ascii="仿宋_GB2312" w:hAnsi="宋体" w:eastAsia="仿宋_GB2312"/>
          <w:color w:val="auto"/>
          <w:sz w:val="32"/>
          <w:szCs w:val="28"/>
          <w:highlight w:val="none"/>
        </w:rPr>
        <w:t>制定了起草编写方案与进度安排，明确任务职责，确定工作技术路线，开展标准研制工作。具体标准编制工作由</w:t>
      </w:r>
      <w:r>
        <w:rPr>
          <w:rFonts w:hint="eastAsia" w:ascii="仿宋_GB2312" w:hAnsi="宋体"/>
          <w:color w:val="auto"/>
          <w:sz w:val="32"/>
          <w:szCs w:val="28"/>
          <w:highlight w:val="none"/>
          <w:lang w:val="en-US" w:eastAsia="zh-CN"/>
        </w:rPr>
        <w:t>玉林市中医医院、广西中医药大学第一附属医院、钦州市中医医院、南宁市妇幼保健院</w:t>
      </w:r>
      <w:r>
        <w:rPr>
          <w:rFonts w:hint="eastAsia" w:ascii="仿宋_GB2312" w:hAnsi="宋体" w:eastAsia="仿宋_GB2312"/>
          <w:color w:val="auto"/>
          <w:sz w:val="32"/>
          <w:szCs w:val="28"/>
          <w:highlight w:val="none"/>
        </w:rPr>
        <w:t>等单位负责人组成的标</w:t>
      </w:r>
      <w:r>
        <w:rPr>
          <w:rFonts w:hint="eastAsia" w:ascii="仿宋_GB2312" w:hAnsi="宋体" w:eastAsia="仿宋_GB2312"/>
          <w:color w:val="auto"/>
          <w:sz w:val="32"/>
          <w:szCs w:val="28"/>
        </w:rPr>
        <w:t>准编制工作组完成。</w:t>
      </w:r>
    </w:p>
    <w:p w14:paraId="0D99A07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编制工作组下设三个组，分别是资料收集组、草案编写组、标准实施组。</w:t>
      </w:r>
    </w:p>
    <w:p w14:paraId="59AE398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资料收集组负责国内外有关半月板损伤中医诊疗的文献资料的查询、收集和整理工作，查阅前人对半月板损伤中医诊疗的研究情况。</w:t>
      </w:r>
    </w:p>
    <w:p w14:paraId="0BE25F7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实施组负责团体标准《半月板损伤中医诊疗规范》发布后，组织相关企事业单位开展标准宣贯培训会，对标准进行详细解读，让相关人员了解标准，并根据标准对半月板损伤中医诊疗进行规范化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（二）收集整理文献资料</w:t>
      </w:r>
    </w:p>
    <w:p w14:paraId="2B9611BD">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lang w:val="fr-FR"/>
        </w:rPr>
      </w:pPr>
      <w:r>
        <w:rPr>
          <w:rFonts w:hint="eastAsia" w:ascii="仿宋_GB2312" w:hAnsi="宋体" w:eastAsia="仿宋_GB2312"/>
          <w:color w:val="auto"/>
          <w:sz w:val="32"/>
          <w:szCs w:val="28"/>
        </w:rPr>
        <w:t>标准编制工作组收集了国内有关半月板损伤中医诊疗相关文献资料。主要有</w:t>
      </w:r>
      <w:r>
        <w:rPr>
          <w:rFonts w:hint="eastAsia" w:ascii="仿宋_GB2312" w:hAnsi="宋体" w:eastAsia="仿宋_GB2312"/>
          <w:color w:val="auto"/>
          <w:sz w:val="32"/>
          <w:szCs w:val="28"/>
          <w:lang w:val="fr-FR"/>
        </w:rPr>
        <w:t>：</w:t>
      </w:r>
    </w:p>
    <w:p w14:paraId="22BB59AF">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《T/CACM 1181—2019  中医骨伤科临床诊疗指南  膝关节半月板损伤》</w:t>
      </w:r>
      <w:r>
        <w:rPr>
          <w:rFonts w:hint="eastAsia" w:ascii="仿宋_GB2312" w:hAnsi="宋体"/>
          <w:color w:val="auto"/>
          <w:sz w:val="32"/>
          <w:szCs w:val="28"/>
          <w:lang w:eastAsia="zh-CN"/>
        </w:rPr>
        <w:t>《膝关节半月板损伤中医诊疗方案》</w:t>
      </w:r>
    </w:p>
    <w:p w14:paraId="44937C7D">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（三）研讨确定标准</w:t>
      </w:r>
      <w:r>
        <w:rPr>
          <w:rFonts w:hint="eastAsia" w:ascii="楷体" w:hAnsi="楷体" w:eastAsia="楷体" w:cs="仿宋_GB2312"/>
          <w:b/>
          <w:color w:val="auto"/>
          <w:sz w:val="32"/>
          <w:szCs w:val="28"/>
          <w:lang w:val="en-US" w:eastAsia="zh-CN"/>
        </w:rPr>
        <w:t>特色、创新点、</w:t>
      </w:r>
      <w:r>
        <w:rPr>
          <w:rFonts w:hint="eastAsia" w:ascii="楷体" w:hAnsi="楷体" w:eastAsia="楷体" w:cs="仿宋_GB2312"/>
          <w:b/>
          <w:color w:val="auto"/>
          <w:sz w:val="32"/>
          <w:szCs w:val="28"/>
        </w:rPr>
        <w:t>主体内容</w:t>
      </w:r>
    </w:p>
    <w:p w14:paraId="2963878A">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1、创新点</w:t>
      </w:r>
    </w:p>
    <w:p w14:paraId="2F4C1328">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（1）明确通过推拿手法恢复经筋平衡、调整力线，同时结合中药内服温经通络、强壮筋骨，实现“筋骨并重、气血同调”的整体治疗，突破“头痛医头、脚痛医脚”的局部思维局限。</w:t>
      </w:r>
    </w:p>
    <w:p w14:paraId="1A9C50C7">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（2）基于银质针技术、针刀技术等中医微创治疗领域的积累，明确不同损伤类型、不同损伤程度、不同症状特征对应的治疗路径，为临床医师提供了清晰的决策依据。</w:t>
      </w:r>
    </w:p>
    <w:p w14:paraId="2A81DD5F">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28"/>
          <w:lang w:val="en-US" w:eastAsia="zh-CN"/>
        </w:rPr>
      </w:pPr>
      <w:r>
        <w:rPr>
          <w:rFonts w:hint="eastAsia" w:ascii="仿宋_GB2312" w:hAnsi="宋体"/>
          <w:color w:val="auto"/>
          <w:sz w:val="32"/>
          <w:szCs w:val="28"/>
          <w:lang w:val="en-US" w:eastAsia="zh-CN"/>
        </w:rPr>
        <w:t>2、主体内容</w:t>
      </w:r>
    </w:p>
    <w:p w14:paraId="691B939C">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ascii="仿宋_GB2312" w:hAnsi="宋体"/>
          <w:color w:val="auto"/>
          <w:sz w:val="32"/>
          <w:szCs w:val="28"/>
          <w:highlight w:val="none"/>
          <w:lang w:val="en-US" w:eastAsia="zh-CN"/>
        </w:rPr>
        <w:t>辩证分型、治疗方法、禁忌证、注意事项、健康宣教</w:t>
      </w:r>
      <w:r>
        <w:rPr>
          <w:rFonts w:hint="eastAsia" w:ascii="仿宋_GB2312" w:hAnsi="宋体" w:eastAsia="仿宋_GB2312"/>
          <w:color w:val="auto"/>
          <w:sz w:val="32"/>
          <w:szCs w:val="28"/>
        </w:rPr>
        <w:t>。</w:t>
      </w:r>
    </w:p>
    <w:p w14:paraId="61FABD7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（四）调研及形成草案、征求意见稿</w:t>
      </w:r>
    </w:p>
    <w:p w14:paraId="6B43200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3</w:t>
      </w:r>
      <w:r>
        <w:rPr>
          <w:rFonts w:hint="eastAsia" w:ascii="仿宋_GB2312" w:hAnsi="宋体" w:eastAsia="仿宋_GB2312"/>
          <w:color w:val="auto"/>
          <w:sz w:val="32"/>
          <w:szCs w:val="28"/>
        </w:rPr>
        <w:t>月，标准起草工作小组进行了广泛调研工作，查阅了大量的国内外文献资料，对半月板损伤中医诊疗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4-5</w:t>
      </w:r>
      <w:r>
        <w:rPr>
          <w:rFonts w:hint="eastAsia" w:ascii="仿宋_GB2312" w:hAnsi="宋体" w:eastAsia="仿宋_GB2312"/>
          <w:color w:val="auto"/>
          <w:sz w:val="32"/>
          <w:szCs w:val="28"/>
        </w:rPr>
        <w:t>月，在前期工作的基础之上，通过理清逻辑脉络，整合已有的参考资料中有关半月板损伤中医诊疗要求，并结合半月板损伤中医诊疗实际要求的基础上，按照简化、统一等原则编制完成团体标准《半月板损伤中医诊疗规范》（草案）。</w:t>
      </w:r>
    </w:p>
    <w:p w14:paraId="1F6A96F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6</w:t>
      </w:r>
      <w:r>
        <w:rPr>
          <w:rFonts w:hint="eastAsia" w:ascii="仿宋_GB2312" w:hAnsi="宋体" w:eastAsia="仿宋_GB2312"/>
          <w:color w:val="auto"/>
          <w:sz w:val="32"/>
          <w:szCs w:val="28"/>
        </w:rPr>
        <w:t>月，标准起草工作组到</w:t>
      </w:r>
      <w:r>
        <w:rPr>
          <w:rFonts w:ascii="仿宋_GB2312" w:hAnsi="宋体" w:eastAsia="仿宋_GB2312"/>
          <w:color w:val="auto"/>
          <w:sz w:val="32"/>
          <w:szCs w:val="28"/>
        </w:rPr>
        <w:t>相关单位和</w:t>
      </w:r>
      <w:r>
        <w:rPr>
          <w:rFonts w:hint="eastAsia" w:ascii="仿宋_GB2312" w:hAnsi="宋体"/>
          <w:color w:val="auto"/>
          <w:sz w:val="32"/>
          <w:szCs w:val="28"/>
          <w:lang w:val="en-US" w:eastAsia="zh-CN"/>
        </w:rPr>
        <w:t>医疗</w:t>
      </w:r>
      <w:r>
        <w:rPr>
          <w:rFonts w:ascii="仿宋_GB2312" w:hAnsi="宋体" w:eastAsia="仿宋_GB2312"/>
          <w:color w:val="auto"/>
          <w:sz w:val="32"/>
          <w:szCs w:val="28"/>
        </w:rPr>
        <w:t>机构进行调研，</w:t>
      </w:r>
      <w:r>
        <w:rPr>
          <w:rFonts w:hint="eastAsia" w:ascii="仿宋_GB2312" w:hAnsi="宋体" w:eastAsia="仿宋_GB2312"/>
          <w:color w:val="auto"/>
          <w:sz w:val="32"/>
          <w:szCs w:val="28"/>
        </w:rPr>
        <w:t>并实际征求意见，收集了大量反馈意见，标准编制工作组多次召开会议，对标准草案进行了反复修改和研究讨论。进一步讨论完善标准草案，形成团体标准《半月板损伤中医诊疗规范》（征求意见稿）和（征求意见稿）编制说明。</w:t>
      </w:r>
    </w:p>
    <w:p w14:paraId="3B832357">
      <w:pPr>
        <w:keepNext w:val="0"/>
        <w:keepLines w:val="0"/>
        <w:pageBreakBefore w:val="0"/>
        <w:kinsoku/>
        <w:overflowPunct/>
        <w:topLinePunct w:val="0"/>
        <w:autoSpaceDE w:val="0"/>
        <w:autoSpaceDN w:val="0"/>
        <w:bidi w:val="0"/>
        <w:adjustRightInd w:val="0"/>
        <w:snapToGrid/>
        <w:ind w:left="0"/>
        <w:jc w:val="left"/>
        <w:textAlignment w:val="auto"/>
        <w:rPr>
          <w:rFonts w:eastAsia="黑体"/>
          <w:bCs/>
          <w:color w:val="auto"/>
          <w:sz w:val="32"/>
          <w:szCs w:val="32"/>
        </w:rPr>
      </w:pPr>
      <w:bookmarkStart w:id="45" w:name="_Toc526940083"/>
      <w:r>
        <w:rPr>
          <w:rFonts w:eastAsia="黑体"/>
          <w:bCs/>
          <w:color w:val="auto"/>
          <w:sz w:val="32"/>
          <w:szCs w:val="32"/>
        </w:rPr>
        <w:t>四、</w:t>
      </w:r>
      <w:bookmarkEnd w:id="45"/>
      <w:r>
        <w:rPr>
          <w:rFonts w:eastAsia="黑体"/>
          <w:bCs/>
          <w:color w:val="auto"/>
          <w:sz w:val="32"/>
          <w:szCs w:val="32"/>
        </w:rPr>
        <w:t>制定标准的原则和依据，与现行法律、法规的关系，与有关国家标准、行业标准的协调情况</w:t>
      </w:r>
    </w:p>
    <w:p w14:paraId="30EFA250">
      <w:pPr>
        <w:pStyle w:val="10"/>
        <w:keepNext w:val="0"/>
        <w:keepLines w:val="0"/>
        <w:pageBreakBefore w:val="0"/>
        <w:kinsoku/>
        <w:overflowPunct/>
        <w:topLinePunct w:val="0"/>
        <w:bidi w:val="0"/>
        <w:snapToGrid/>
        <w:spacing w:line="560" w:lineRule="exact"/>
        <w:ind w:left="0" w:firstLine="0" w:firstLineChars="0"/>
        <w:textAlignment w:val="auto"/>
        <w:outlineLvl w:val="1"/>
        <w:rPr>
          <w:rFonts w:ascii="Times New Roman" w:eastAsia="仿宋"/>
          <w:b/>
          <w:bCs/>
          <w:color w:val="auto"/>
          <w:sz w:val="32"/>
          <w:szCs w:val="32"/>
        </w:rPr>
      </w:pPr>
      <w:r>
        <w:rPr>
          <w:rFonts w:ascii="Times New Roman" w:eastAsia="仿宋"/>
          <w:b/>
          <w:bCs/>
          <w:color w:val="auto"/>
          <w:sz w:val="32"/>
          <w:szCs w:val="32"/>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eastAsia="仿宋"/>
          <w:b/>
          <w:bCs/>
          <w:color w:val="auto"/>
          <w:kern w:val="0"/>
          <w:sz w:val="32"/>
          <w:szCs w:val="32"/>
        </w:rPr>
        <w:t>1、实用性原则</w:t>
      </w:r>
    </w:p>
    <w:p w14:paraId="096AD80F">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本文件是在充分收集相关资料和文献，分析半月板损伤中医诊疗当前现状，在现有相关半月板损伤中医诊疗要求的基础上，结合编制单位</w:t>
      </w:r>
      <w:r>
        <w:rPr>
          <w:rFonts w:ascii="仿宋_GB2312" w:hAnsi="宋体" w:eastAsia="仿宋_GB2312"/>
          <w:color w:val="auto"/>
          <w:sz w:val="32"/>
          <w:szCs w:val="28"/>
        </w:rPr>
        <w:t>多年</w:t>
      </w:r>
      <w:r>
        <w:rPr>
          <w:rFonts w:hint="eastAsia" w:ascii="仿宋_GB2312" w:hAnsi="宋体" w:eastAsia="仿宋_GB2312"/>
          <w:color w:val="auto"/>
          <w:sz w:val="32"/>
          <w:szCs w:val="28"/>
        </w:rPr>
        <w:t>相关经验而总结起草的，符合当前半月板损伤中医诊疗发展的方向，具有较强的实用性和可操作性。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2、协调性原则</w:t>
      </w:r>
    </w:p>
    <w:p w14:paraId="18A3383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本文件编写过程中注意了与半月板损伤中医诊疗相关法律法规的协调问题，在内容上与现行法律法规、标准协调一致。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3、规范性原则</w:t>
      </w:r>
    </w:p>
    <w:p w14:paraId="3276EBB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4、前瞻性原则</w:t>
      </w:r>
    </w:p>
    <w:p w14:paraId="2315C39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本文件在兼顾当前区内半月板损伤中医诊疗现实情况的同时，还考虑到了半月板损伤中医诊疗快速发展的趋势和需要，在标准中体现了个别特色性、前瞻性和先进性条款，作为对半月板损伤中医诊疗发展的指导。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（二）编制依据</w:t>
      </w:r>
    </w:p>
    <w:p w14:paraId="03C8CA65">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eastAsia="仿宋"/>
          <w:color w:val="auto"/>
          <w:sz w:val="32"/>
          <w:szCs w:val="32"/>
        </w:rPr>
        <w:t>本标准严格按照GB/T 1.1—2020《标准化工作导则  第1部分：标准化文件的结构和起草规则》的规则起草，标准主要内容参考相关标准文件并结合起草单位多年的</w:t>
      </w:r>
      <w:r>
        <w:rPr>
          <w:rFonts w:hint="eastAsia" w:eastAsia="仿宋"/>
          <w:color w:val="auto"/>
          <w:sz w:val="32"/>
          <w:szCs w:val="32"/>
        </w:rPr>
        <w:t>相关</w:t>
      </w:r>
      <w:r>
        <w:rPr>
          <w:rFonts w:eastAsia="仿宋"/>
          <w:color w:val="auto"/>
          <w:sz w:val="32"/>
          <w:szCs w:val="32"/>
        </w:rPr>
        <w:t>经验</w:t>
      </w:r>
      <w:r>
        <w:rPr>
          <w:rFonts w:hint="eastAsia" w:eastAsia="仿宋"/>
          <w:color w:val="auto"/>
          <w:sz w:val="32"/>
          <w:szCs w:val="32"/>
        </w:rPr>
        <w:t>和实践</w:t>
      </w:r>
      <w:r>
        <w:rPr>
          <w:rFonts w:eastAsia="仿宋"/>
          <w:color w:val="auto"/>
          <w:sz w:val="32"/>
          <w:szCs w:val="32"/>
        </w:rPr>
        <w:t>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（三）与现行法律、法规的关系，与有关国家标准、行业标准的协调情况</w:t>
      </w:r>
    </w:p>
    <w:p w14:paraId="03FE614D">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hint="eastAsia" w:eastAsia="仿宋"/>
          <w:color w:val="auto"/>
          <w:sz w:val="32"/>
          <w:szCs w:val="32"/>
        </w:rPr>
        <w:t>本编制工作组承诺本标准内容与各项指标不违反相关法律法规要求，且不低于国家强制性标准、推荐性国家标准和行业标准要求。</w:t>
      </w:r>
    </w:p>
    <w:p w14:paraId="5740633C">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经查询，暂无“半月板损伤中医诊疗”标准。</w:t>
      </w:r>
    </w:p>
    <w:p w14:paraId="4957F950">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与“半月板损伤”相关的标准主要有：</w:t>
      </w:r>
    </w:p>
    <w:p w14:paraId="470C8E82">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《T/CACM 1181—2019  中医骨伤科临床诊疗指南  膝关节半月板损伤》。</w:t>
      </w:r>
    </w:p>
    <w:p w14:paraId="29FA2AD1">
      <w:pPr>
        <w:keepNext w:val="0"/>
        <w:keepLines w:val="0"/>
        <w:pageBreakBefore w:val="0"/>
        <w:kinsoku/>
        <w:overflowPunct/>
        <w:topLinePunct w:val="0"/>
        <w:bidi w:val="0"/>
        <w:snapToGrid/>
        <w:ind w:left="0" w:firstLine="640" w:firstLineChars="200"/>
        <w:textAlignment w:val="auto"/>
        <w:rPr>
          <w:rFonts w:hint="eastAsia" w:eastAsia="仿宋"/>
          <w:color w:val="auto"/>
          <w:sz w:val="32"/>
          <w:szCs w:val="32"/>
        </w:rPr>
      </w:pPr>
      <w:r>
        <w:rPr>
          <w:rFonts w:hint="eastAsia" w:ascii="仿宋_GB2312" w:hAnsi="宋体" w:eastAsia="仿宋_GB2312"/>
          <w:color w:val="auto"/>
          <w:sz w:val="32"/>
          <w:szCs w:val="28"/>
        </w:rPr>
        <w:t>综述，目前对于半月板损伤中医诊疗内容尚不完善，对于推拿、银质针等目前常用治疗方法尚无详细要求，因此有必要制定团体标准《半月板损伤中医诊疗规范》，统一规范半月板损伤中医诊疗要求，提高半月板损伤中医诊疗水平，促进半月板损伤中医诊疗技术规范化发展。</w:t>
      </w:r>
      <w:r>
        <w:rPr>
          <w:rFonts w:hint="eastAsia" w:eastAsia="仿宋"/>
          <w:color w:val="auto"/>
          <w:sz w:val="32"/>
          <w:szCs w:val="32"/>
        </w:rPr>
        <w:t>。</w:t>
      </w:r>
    </w:p>
    <w:p w14:paraId="2A17FE98">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仿宋_GB2312" w:hAnsi="宋体" w:eastAsia="仿宋_GB2312"/>
          <w:color w:val="auto"/>
          <w:sz w:val="32"/>
          <w:szCs w:val="32"/>
          <w:highlight w:val="none"/>
          <w:lang w:val="zh-CN"/>
        </w:rPr>
      </w:pPr>
      <w:bookmarkStart w:id="46" w:name="_Toc526940084"/>
      <w:r>
        <w:rPr>
          <w:rFonts w:hint="eastAsia" w:ascii="黑体" w:hAnsi="黑体" w:eastAsia="黑体" w:cs="仿宋_GB2312"/>
          <w:color w:val="auto"/>
          <w:sz w:val="32"/>
          <w:szCs w:val="32"/>
        </w:rPr>
        <w:t>五、</w:t>
      </w:r>
      <w:bookmarkEnd w:id="46"/>
      <w:r>
        <w:rPr>
          <w:rFonts w:hint="eastAsia" w:ascii="黑体" w:hAnsi="黑体" w:eastAsia="黑体" w:cs="仿宋_GB2312"/>
          <w:color w:val="auto"/>
          <w:sz w:val="32"/>
          <w:szCs w:val="32"/>
        </w:rPr>
        <w:t>主要条款的说明</w:t>
      </w:r>
    </w:p>
    <w:p w14:paraId="6299204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32"/>
          <w:lang w:val="zh-CN"/>
        </w:rPr>
      </w:pPr>
      <w:r>
        <w:rPr>
          <w:rFonts w:hint="eastAsia" w:ascii="仿宋_GB2312" w:hAnsi="宋体" w:eastAsia="仿宋_GB2312"/>
          <w:color w:val="auto"/>
          <w:sz w:val="32"/>
          <w:szCs w:val="32"/>
          <w:lang w:val="zh-CN"/>
        </w:rPr>
        <w:t>玉林市中医医院自2016年开始开展半月板损伤中医诊疗工作，每年治疗患者数量约1000人，积累了丰富的临床病例和诊疗经验，形成了一套相对完善的中医诊疗方案。医院拥有一支由中医骨伤科专家、针灸推拿专家、康复治疗师等组成的专业团队，团队成员在半月板损伤的中医辨证论治、非药物疗法操作等方面具备扎实的理论基础和实践能力。目前在玉林市中医医院、钦州市中医医院、广西中医药大学第一附属医院、南宁市妇幼保健院、广西中医药大学附属瑞康医院等医院得到了广泛应用。</w:t>
      </w:r>
    </w:p>
    <w:p w14:paraId="6C1EDCB7">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团体标准《半月板损伤中医诊疗规范》的主要章节内容包括：</w:t>
      </w:r>
      <w:r>
        <w:rPr>
          <w:rFonts w:hint="eastAsia" w:ascii="仿宋_GB2312" w:hAnsi="宋体"/>
          <w:color w:val="auto"/>
          <w:sz w:val="32"/>
          <w:szCs w:val="32"/>
          <w:lang w:val="en-US" w:eastAsia="zh-CN"/>
        </w:rPr>
        <w:t>辩证分型、治疗方法、禁忌证、注意事项、健康宣教</w:t>
      </w:r>
      <w:r>
        <w:rPr>
          <w:rFonts w:hint="eastAsia" w:ascii="仿宋_GB2312" w:hAnsi="宋体" w:eastAsia="仿宋_GB2312"/>
          <w:color w:val="auto"/>
          <w:sz w:val="32"/>
          <w:szCs w:val="32"/>
          <w:lang w:val="zh-CN"/>
        </w:rPr>
        <w:t>。本文件主要内容及依据来源说明如下：</w:t>
      </w:r>
    </w:p>
    <w:p w14:paraId="40C50225">
      <w:pPr>
        <w:keepNext w:val="0"/>
        <w:keepLines w:val="0"/>
        <w:pageBreakBefore w:val="0"/>
        <w:kinsoku/>
        <w:overflowPunct/>
        <w:topLinePunct w:val="0"/>
        <w:bidi w:val="0"/>
        <w:snapToGrid/>
        <w:ind w:left="0" w:firstLine="643" w:firstLineChars="200"/>
        <w:textAlignment w:val="auto"/>
        <w:rPr>
          <w:rFonts w:ascii="仿宋_GB2312" w:hAnsi="宋体" w:eastAsia="仿宋_GB2312"/>
          <w:b/>
          <w:color w:val="auto"/>
          <w:sz w:val="32"/>
          <w:szCs w:val="32"/>
          <w:lang w:val="zh-CN"/>
        </w:rPr>
      </w:pPr>
      <w:r>
        <w:rPr>
          <w:rFonts w:hint="default" w:ascii="仿宋_GB2312" w:hAnsi="宋体" w:eastAsia="仿宋_GB2312" w:cs="Times New Roman"/>
          <w:b/>
          <w:color w:val="auto"/>
          <w:kern w:val="2"/>
          <w:sz w:val="32"/>
          <w:szCs w:val="32"/>
          <w:lang w:val="zh-CN" w:eastAsia="zh-CN" w:bidi="ar-SA"/>
        </w:rPr>
        <w:t>（一）</w:t>
      </w:r>
      <w:r>
        <w:rPr>
          <w:rFonts w:hint="eastAsia" w:ascii="仿宋_GB2312" w:hAnsi="宋体" w:eastAsia="仿宋_GB2312"/>
          <w:b/>
          <w:color w:val="auto"/>
          <w:sz w:val="32"/>
          <w:szCs w:val="32"/>
          <w:lang w:val="zh-CN"/>
        </w:rPr>
        <w:t>辩证分型</w:t>
      </w:r>
    </w:p>
    <w:p w14:paraId="6AE88F24">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eastAsia="仿宋_GB2312"/>
          <w:color w:val="auto"/>
          <w:sz w:val="32"/>
          <w:szCs w:val="32"/>
          <w:lang w:val="zh-CN"/>
        </w:rPr>
        <w:t>半月板损伤因外伤、劳损或退行性改变导致的膝关节半月板撕裂、分层或结构异常，主要表现为膝关节疼痛、肿胀、弹响、交锁、打软腿及活动受限的一种病症。</w:t>
      </w:r>
      <w:r>
        <w:rPr>
          <w:rFonts w:hint="eastAsia" w:ascii="仿宋_GB2312" w:hAnsi="宋体"/>
          <w:color w:val="auto"/>
          <w:sz w:val="32"/>
          <w:szCs w:val="32"/>
          <w:lang w:val="en-US" w:eastAsia="zh-CN"/>
        </w:rPr>
        <w:t>主要分为以下4中证型。气滞血瘀型：膝关节疼痛肿胀明显，关节交锁不易解脱，局部压痛明显，动则痛甚。舌质暗红或有瘀斑，舌苔薄白，脉弦或弦涩。</w:t>
      </w:r>
    </w:p>
    <w:p w14:paraId="0827286F">
      <w:pPr>
        <w:keepNext w:val="0"/>
        <w:keepLines w:val="0"/>
        <w:pageBreakBefore w:val="0"/>
        <w:kinsoku/>
        <w:overflowPunct/>
        <w:topLinePunct w:val="0"/>
        <w:bidi w:val="0"/>
        <w:snapToGrid/>
        <w:ind w:left="0" w:leftChars="0" w:firstLine="0" w:firstLineChars="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风寒湿痹阻型：膝关节胀痛明显，遇寒加重，得热痛减，关节重着屈伸不利，或有积液，局部皮色不红，触之不热。舌质淡，苔白腻，脉弦紧或濡缓。肝肾亏虚型：膝关节胀痛，静时反痛，或损伤日久，肌肉萎缩，膝软无力，弹响交锁频作。舌质红或淡，舌苔少，脉细或细数。脾肾阳虚型：膝关节胀痛，反复发作，遇寒及劳累后加重，伴畏寒肢冷，腰膝酸软，乏力，关节积液清稀。舌淡胖，边有齿痕，苔白滑，脉沉细无力。</w:t>
      </w:r>
    </w:p>
    <w:p w14:paraId="60F02666">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zh-CN" w:eastAsia="zh-CN" w:bidi="ar-SA"/>
        </w:rPr>
        <w:t>（</w:t>
      </w:r>
      <w:r>
        <w:rPr>
          <w:rFonts w:hint="eastAsia" w:ascii="仿宋_GB2312" w:hAnsi="宋体" w:eastAsia="仿宋_GB2312" w:cs="Times New Roman"/>
          <w:b/>
          <w:color w:val="auto"/>
          <w:kern w:val="2"/>
          <w:sz w:val="32"/>
          <w:szCs w:val="32"/>
          <w:lang w:val="en-US" w:eastAsia="zh-CN" w:bidi="ar-SA"/>
        </w:rPr>
        <w:t>二）治疗方法</w:t>
      </w:r>
    </w:p>
    <w:p w14:paraId="2A8ACE71">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2.1内治法</w:t>
      </w:r>
    </w:p>
    <w:p w14:paraId="0B66AE19">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半月板损伤属于中医“筋伤”“膝痹”范畴。中医认为，半月板损伤主要与外伤、劳损、肝肾亏虚等因素有关：外伤直接损伤膝关节，导致局部气血瘀滞、经络不通；长期劳损使筋脉受损、气血运行不畅；肝肾亏虚则筋骨失养，关节稳定性下降。根据文献研究和专家共识，半月板损伤临床常见气滞血瘀、风寒湿痹阻、肝肾亏虚、脾肾阳虚四种证型。其中气滞血瘀型多见于急性外伤后，风寒湿痹阻型多见于风寒湿邪侵袭或久居湿地者，肝肾亏虚型多见于中老年人或病程日久者，脾肾阳虚型多见于素体阳虚、病情迁延不愈者。这四种证型基本涵盖了半月板损伤从急性期到慢性期、从实证到虚证的主要病机演变过程。</w:t>
      </w:r>
    </w:p>
    <w:p w14:paraId="60150E10">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各证型方药剂量参考《中华人民共和国药典》规定的常用剂量范围，结合骨伤科临床实际用药经验确定。煎服法统一为每日1剂，水煎分2次温服，7～14剂为1个疗程，便于临床操作和疗效评价。</w:t>
      </w:r>
    </w:p>
    <w:p w14:paraId="5F1EF27D">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方药加减遵循“随证治之”的原则，在固定主方的基础上，根据患者的具体症状表现进行灵活化裁。加减药物的选择基于中药的性味归经和功效特点，体现了个体化治疗的中医特色。</w:t>
      </w:r>
    </w:p>
    <w:p w14:paraId="095BAA76">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2.2外治法</w:t>
      </w:r>
    </w:p>
    <w:p w14:paraId="5010A60B">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中医外治联合治疗方案是一种以中医理论为指导，综合应用两种或两种以上的中医外治技术，针对半月板损伤的不同病理阶段和证候特点，进行序贯性或协同性治疗的整合方案，包括但不限于手法、针刺、拔罐、药熨等疗法。以“动静结合、筋骨并重、内外兼治”为总则，采取“三步阶梯”联合治疗策略：</w:t>
      </w:r>
    </w:p>
    <w:p w14:paraId="3704E2E9">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a)松解减压：运用手法松解、针刺减压等技术，解除肌肉筋膜痉挛粘连，降低关节周围组织高压，改善局部循环，为修复创造条件。</w:t>
      </w:r>
    </w:p>
    <w:p w14:paraId="2E33E832">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b)祛邪通络：运用拔罐、火针等技术，祛除瘀滞、痰湿等病理产物，疏通经络气血，以通止痛。</w:t>
      </w:r>
    </w:p>
    <w:p w14:paraId="2F40EAEB">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c)温养修复：运用药熨、温灸罐疗等技术，温煦气血、荣养筋骨，促进受损组织的修复与功能重建。</w:t>
      </w:r>
    </w:p>
    <w:p w14:paraId="02D24BC4">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本方案中，除推拿骨伤手法明确禁忌证外，所有外治法均应在辨病与辨证相结合的基础上选用。湿热痹阻证、肝肾亏虚证患者应慎用或禁用部分温通、攻伐力强之法，具体见各疗法规定。</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607A4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4E49E9FC">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cs="Times New Roman"/>
                <w:b/>
                <w:color w:val="auto"/>
                <w:kern w:val="2"/>
                <w:sz w:val="32"/>
                <w:szCs w:val="32"/>
                <w:vertAlign w:val="baseline"/>
                <w:lang w:val="en-US" w:eastAsia="zh-CN" w:bidi="ar-SA"/>
              </w:rPr>
            </w:pPr>
            <w:r>
              <w:drawing>
                <wp:inline distT="0" distB="0" distL="114300" distR="114300">
                  <wp:extent cx="1440180" cy="1869440"/>
                  <wp:effectExtent l="0" t="0" r="7620" b="1651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1440180" cy="1869440"/>
                          </a:xfrm>
                          <a:prstGeom prst="rect">
                            <a:avLst/>
                          </a:prstGeom>
                          <a:noFill/>
                          <a:ln>
                            <a:noFill/>
                          </a:ln>
                        </pic:spPr>
                      </pic:pic>
                    </a:graphicData>
                  </a:graphic>
                </wp:inline>
              </w:drawing>
            </w:r>
          </w:p>
        </w:tc>
        <w:tc>
          <w:tcPr>
            <w:tcW w:w="4587" w:type="dxa"/>
          </w:tcPr>
          <w:p w14:paraId="57834B1E">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440180" cy="1903095"/>
                  <wp:effectExtent l="0" t="0" r="7620" b="190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8"/>
                          <a:stretch>
                            <a:fillRect/>
                          </a:stretch>
                        </pic:blipFill>
                        <pic:spPr>
                          <a:xfrm>
                            <a:off x="0" y="0"/>
                            <a:ext cx="1440180" cy="1903095"/>
                          </a:xfrm>
                          <a:prstGeom prst="rect">
                            <a:avLst/>
                          </a:prstGeom>
                          <a:noFill/>
                          <a:ln>
                            <a:noFill/>
                          </a:ln>
                        </pic:spPr>
                      </pic:pic>
                    </a:graphicData>
                  </a:graphic>
                </wp:inline>
              </w:drawing>
            </w:r>
          </w:p>
        </w:tc>
      </w:tr>
      <w:tr w14:paraId="4AF93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6C2A2C40">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160270" cy="1610360"/>
                  <wp:effectExtent l="0" t="0" r="11430" b="889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9"/>
                          <a:stretch>
                            <a:fillRect/>
                          </a:stretch>
                        </pic:blipFill>
                        <pic:spPr>
                          <a:xfrm>
                            <a:off x="0" y="0"/>
                            <a:ext cx="2160270" cy="1610360"/>
                          </a:xfrm>
                          <a:prstGeom prst="rect">
                            <a:avLst/>
                          </a:prstGeom>
                          <a:noFill/>
                          <a:ln>
                            <a:noFill/>
                          </a:ln>
                        </pic:spPr>
                      </pic:pic>
                    </a:graphicData>
                  </a:graphic>
                </wp:inline>
              </w:drawing>
            </w:r>
          </w:p>
        </w:tc>
      </w:tr>
      <w:tr w14:paraId="31142F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289B3B71">
            <w:pPr>
              <w:keepNext w:val="0"/>
              <w:keepLines w:val="0"/>
              <w:pageBreakBefore w:val="0"/>
              <w:kinsoku/>
              <w:overflowPunct/>
              <w:topLinePunct w:val="0"/>
              <w:bidi w:val="0"/>
              <w:snapToGrid/>
              <w:ind w:left="0" w:leftChars="0" w:firstLine="0" w:firstLineChars="0"/>
              <w:jc w:val="center"/>
              <w:textAlignment w:val="auto"/>
              <w:rPr>
                <w:rFonts w:hint="default" w:eastAsia="仿宋_GB2312"/>
                <w:sz w:val="24"/>
                <w:szCs w:val="21"/>
                <w:lang w:val="en-US" w:eastAsia="zh-CN"/>
              </w:rPr>
            </w:pPr>
            <w:r>
              <w:rPr>
                <w:rFonts w:hint="eastAsia"/>
                <w:sz w:val="24"/>
                <w:szCs w:val="21"/>
                <w:lang w:val="en-US" w:eastAsia="zh-CN"/>
              </w:rPr>
              <w:t xml:space="preserve">图1 正骨推拿 </w:t>
            </w:r>
          </w:p>
        </w:tc>
      </w:tr>
    </w:tbl>
    <w:p w14:paraId="65A6EA6B">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 xml:space="preserve"> 1、舒适化银质针疗法</w:t>
      </w:r>
    </w:p>
    <w:p w14:paraId="5AAEEE57">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银质针导热系数高。导热仪控温可深层热松解瘢痕与粘连组织，热力消除无菌性炎症、改善循环。术前涂抹麻膏1.5-2h，确保麻醉充分，体现舒适化理念。参考起草单位前期制定的团体标准《舒适化银质针联合脊柱平衡手法治疗腰椎椎管狭窄症》的准备操作以及广西地方标准《DB45/T 2137-2020  银质针治疗技术规范》的操作手法。</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7EFCA8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1194ECC6">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cs="Times New Roman"/>
                <w:b/>
                <w:color w:val="auto"/>
                <w:kern w:val="2"/>
                <w:sz w:val="32"/>
                <w:szCs w:val="32"/>
                <w:vertAlign w:val="baseline"/>
                <w:lang w:val="en-US" w:eastAsia="zh-CN" w:bidi="ar-SA"/>
              </w:rPr>
            </w:pPr>
            <w:r>
              <w:drawing>
                <wp:inline distT="0" distB="0" distL="114300" distR="114300">
                  <wp:extent cx="2160270" cy="1721485"/>
                  <wp:effectExtent l="0" t="0" r="1143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2160270" cy="1721485"/>
                          </a:xfrm>
                          <a:prstGeom prst="rect">
                            <a:avLst/>
                          </a:prstGeom>
                          <a:noFill/>
                          <a:ln>
                            <a:noFill/>
                          </a:ln>
                        </pic:spPr>
                      </pic:pic>
                    </a:graphicData>
                  </a:graphic>
                </wp:inline>
              </w:drawing>
            </w:r>
          </w:p>
        </w:tc>
        <w:tc>
          <w:tcPr>
            <w:tcW w:w="4587" w:type="dxa"/>
          </w:tcPr>
          <w:p w14:paraId="2F3FF09E">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160270" cy="1742440"/>
                  <wp:effectExtent l="0" t="0" r="11430"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160270" cy="1742440"/>
                          </a:xfrm>
                          <a:prstGeom prst="rect">
                            <a:avLst/>
                          </a:prstGeom>
                          <a:noFill/>
                          <a:ln>
                            <a:noFill/>
                          </a:ln>
                        </pic:spPr>
                      </pic:pic>
                    </a:graphicData>
                  </a:graphic>
                </wp:inline>
              </w:drawing>
            </w:r>
          </w:p>
        </w:tc>
      </w:tr>
      <w:tr w14:paraId="5FF64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04806E0C">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cs="Times New Roman"/>
                <w:b w:val="0"/>
                <w:bCs/>
                <w:color w:val="auto"/>
                <w:kern w:val="2"/>
                <w:sz w:val="24"/>
                <w:szCs w:val="24"/>
                <w:vertAlign w:val="baseline"/>
                <w:lang w:val="en-US" w:eastAsia="zh-CN" w:bidi="ar-SA"/>
              </w:rPr>
            </w:pPr>
            <w:r>
              <w:rPr>
                <w:rFonts w:hint="eastAsia" w:ascii="仿宋_GB2312" w:hAnsi="宋体" w:cs="Times New Roman"/>
                <w:b w:val="0"/>
                <w:bCs/>
                <w:color w:val="auto"/>
                <w:kern w:val="2"/>
                <w:sz w:val="24"/>
                <w:szCs w:val="24"/>
                <w:vertAlign w:val="baseline"/>
                <w:lang w:val="en-US" w:eastAsia="zh-CN" w:bidi="ar-SA"/>
              </w:rPr>
              <w:t>图2 舒适化银质针疗法</w:t>
            </w:r>
          </w:p>
        </w:tc>
      </w:tr>
    </w:tbl>
    <w:p w14:paraId="04056057">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2. 针刀疗法</w:t>
      </w:r>
    </w:p>
    <w:p w14:paraId="21B0C18D">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在副韧带、肌腱附着点等病灶处行纵行疏通、横行剥离，可直接松解粘连、降低局部软组织高张力。针刀能改善关节软骨压应力分布、恢复膝关节内力平衡，从生物力学层面纠正半月板的异常负荷。</w:t>
      </w:r>
    </w:p>
    <w:p w14:paraId="1054B6CD">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3. 火针疗法</w:t>
      </w:r>
    </w:p>
    <w:p w14:paraId="1F8AC51A">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将钨钢火针烧至通红发白后迅速刺入，携高温直达病所。高温可炭化微小粘连组织、疏通板滞；温热效应温通经络、驱散寒湿。肝肾亏虚者慎用、湿热痹阻者禁用，因阴虚内热，火针温燥恐耗伤阴血；后者因热证不应用热法。</w:t>
      </w:r>
    </w:p>
    <w:p w14:paraId="0D5EC27F">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4. 穴位注射疗法</w:t>
      </w:r>
    </w:p>
    <w:p w14:paraId="621F90EC">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将药物（当归注射液活血化瘀、甲钴胺注射液营养神经）直接注射于穴位（血海、足三里等）。其优势在于双重作用：针刺穴位的神经反射调节+药物的局部药理效应。注射前观察回抽无血，防止药液误入血管，引发风险。</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56213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68E87C06">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1637030" cy="2153920"/>
                  <wp:effectExtent l="0" t="0" r="1270" b="1778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2"/>
                          <a:stretch>
                            <a:fillRect/>
                          </a:stretch>
                        </pic:blipFill>
                        <pic:spPr>
                          <a:xfrm>
                            <a:off x="0" y="0"/>
                            <a:ext cx="1637030" cy="2153920"/>
                          </a:xfrm>
                          <a:prstGeom prst="rect">
                            <a:avLst/>
                          </a:prstGeom>
                          <a:noFill/>
                          <a:ln>
                            <a:noFill/>
                          </a:ln>
                        </pic:spPr>
                      </pic:pic>
                    </a:graphicData>
                  </a:graphic>
                </wp:inline>
              </w:drawing>
            </w:r>
          </w:p>
        </w:tc>
      </w:tr>
      <w:tr w14:paraId="1CA8ED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67E5CBCF">
            <w:pPr>
              <w:keepNext w:val="0"/>
              <w:keepLines w:val="0"/>
              <w:pageBreakBefore w:val="0"/>
              <w:kinsoku/>
              <w:overflowPunct/>
              <w:topLinePunct w:val="0"/>
              <w:bidi w:val="0"/>
              <w:snapToGrid/>
              <w:ind w:left="0" w:leftChars="0" w:firstLine="0" w:firstLineChars="0"/>
              <w:jc w:val="center"/>
              <w:textAlignment w:val="auto"/>
            </w:pPr>
            <w:r>
              <w:rPr>
                <w:rFonts w:hint="eastAsia" w:ascii="仿宋_GB2312" w:hAnsi="宋体" w:cs="Times New Roman"/>
                <w:b w:val="0"/>
                <w:bCs/>
                <w:color w:val="auto"/>
                <w:kern w:val="2"/>
                <w:sz w:val="24"/>
                <w:szCs w:val="24"/>
                <w:vertAlign w:val="baseline"/>
                <w:lang w:val="en-US" w:eastAsia="zh-CN" w:bidi="ar-SA"/>
              </w:rPr>
              <w:t>图3 穴位注射法</w:t>
            </w:r>
          </w:p>
        </w:tc>
      </w:tr>
    </w:tbl>
    <w:p w14:paraId="65823323">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5. 拔罐刺血疗法</w:t>
      </w:r>
    </w:p>
    <w:p w14:paraId="2C722793">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选取浮络、孙络或怒张静脉点刺拔罐，属中医“宛陈则除之”之法。刺血可降低局部高压、改善微循环；拔罐负压吸引瘀血，可启动抗炎修复反应。出血性疾病、体质虚弱者禁用，前者因凝血障碍有出血风险，后者因刺血耗气可能加重虚弱。</w:t>
      </w:r>
    </w:p>
    <w:p w14:paraId="68C698CB">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6. 火龙罐综合疗法</w:t>
      </w:r>
    </w:p>
    <w:p w14:paraId="29239F98">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特制陶瓷罐结合艾炷燃烧，集熨、揉、点、叩手法于一体。艾热渗透深度可达3-5cm，结合罐口刮痧与手法推拿，实现“温通经络、祛湿散寒”。尤其适用于风寒湿邪所致的慢性膝关节不适。</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0FE7C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53B61280">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646045" cy="1962785"/>
                  <wp:effectExtent l="0" t="0" r="1905" b="184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2646045" cy="1962785"/>
                          </a:xfrm>
                          <a:prstGeom prst="rect">
                            <a:avLst/>
                          </a:prstGeom>
                          <a:noFill/>
                          <a:ln>
                            <a:noFill/>
                          </a:ln>
                        </pic:spPr>
                      </pic:pic>
                    </a:graphicData>
                  </a:graphic>
                </wp:inline>
              </w:drawing>
            </w:r>
          </w:p>
        </w:tc>
      </w:tr>
      <w:tr w14:paraId="5C44F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49765AF7">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cs="Times New Roman"/>
                <w:b w:val="0"/>
                <w:bCs/>
                <w:color w:val="auto"/>
                <w:kern w:val="2"/>
                <w:sz w:val="24"/>
                <w:szCs w:val="24"/>
                <w:vertAlign w:val="baseline"/>
                <w:lang w:val="en-US" w:eastAsia="zh-CN" w:bidi="ar-SA"/>
              </w:rPr>
            </w:pPr>
            <w:r>
              <w:rPr>
                <w:rFonts w:hint="eastAsia" w:ascii="仿宋_GB2312" w:hAnsi="宋体" w:cs="Times New Roman"/>
                <w:b w:val="0"/>
                <w:bCs/>
                <w:color w:val="auto"/>
                <w:kern w:val="2"/>
                <w:sz w:val="24"/>
                <w:szCs w:val="24"/>
                <w:vertAlign w:val="baseline"/>
                <w:lang w:val="en-US" w:eastAsia="zh-CN" w:bidi="ar-SA"/>
              </w:rPr>
              <w:t>图4 火龙罐综合疗法</w:t>
            </w:r>
          </w:p>
        </w:tc>
      </w:tr>
    </w:tbl>
    <w:p w14:paraId="3171D0F6">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7. 烫熨疗法</w:t>
      </w:r>
    </w:p>
    <w:p w14:paraId="2A01BF37">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中药包（当归、川芎、桂枝等）加热至60-70℃进行局部熨烫。温热效应促进药物透皮吸收与局部循环；药物效应中活血化瘀、温经通络成分通过热力导入病灶。湿热痹阻证禁用（热证忌热敷）；肝肾亏虚证慎用并降低温度，该类患者多阴血不足，过高温度可致汗出过多、耗伤阴液。</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48BC4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6D0C7B84">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cs="Times New Roman"/>
                <w:b w:val="0"/>
                <w:bCs/>
                <w:color w:val="auto"/>
                <w:kern w:val="2"/>
                <w:sz w:val="24"/>
                <w:szCs w:val="24"/>
                <w:vertAlign w:val="baseline"/>
                <w:lang w:val="en-US" w:eastAsia="zh-CN" w:bidi="ar-SA"/>
              </w:rPr>
            </w:pPr>
            <w:r>
              <w:drawing>
                <wp:inline distT="0" distB="0" distL="114300" distR="114300">
                  <wp:extent cx="2160270" cy="1601470"/>
                  <wp:effectExtent l="0" t="0" r="11430" b="1778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4"/>
                          <a:stretch>
                            <a:fillRect/>
                          </a:stretch>
                        </pic:blipFill>
                        <pic:spPr>
                          <a:xfrm>
                            <a:off x="0" y="0"/>
                            <a:ext cx="2160270" cy="1601470"/>
                          </a:xfrm>
                          <a:prstGeom prst="rect">
                            <a:avLst/>
                          </a:prstGeom>
                          <a:noFill/>
                          <a:ln>
                            <a:noFill/>
                          </a:ln>
                        </pic:spPr>
                      </pic:pic>
                    </a:graphicData>
                  </a:graphic>
                </wp:inline>
              </w:drawing>
            </w:r>
          </w:p>
        </w:tc>
      </w:tr>
      <w:tr w14:paraId="2693A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0EAB4187">
            <w:pPr>
              <w:keepNext w:val="0"/>
              <w:keepLines w:val="0"/>
              <w:pageBreakBefore w:val="0"/>
              <w:kinsoku/>
              <w:overflowPunct/>
              <w:topLinePunct w:val="0"/>
              <w:bidi w:val="0"/>
              <w:snapToGrid/>
              <w:ind w:left="0" w:leftChars="0" w:firstLine="0" w:firstLineChars="0"/>
              <w:jc w:val="center"/>
              <w:textAlignment w:val="auto"/>
              <w:rPr>
                <w:rFonts w:hint="default" w:eastAsia="仿宋_GB2312"/>
                <w:sz w:val="24"/>
                <w:szCs w:val="21"/>
                <w:lang w:val="en-US" w:eastAsia="zh-CN"/>
              </w:rPr>
            </w:pPr>
            <w:r>
              <w:rPr>
                <w:rFonts w:hint="eastAsia"/>
                <w:sz w:val="24"/>
                <w:szCs w:val="21"/>
                <w:lang w:val="en-US" w:eastAsia="zh-CN"/>
              </w:rPr>
              <w:t>图5 烫熨治疗</w:t>
            </w:r>
          </w:p>
        </w:tc>
      </w:tr>
    </w:tbl>
    <w:p w14:paraId="63ECA1D4">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（三）禁忌证</w:t>
      </w:r>
    </w:p>
    <w:p w14:paraId="577A79B0">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eastAsia="仿宋_GB2312"/>
          <w:color w:val="auto"/>
          <w:sz w:val="32"/>
          <w:szCs w:val="32"/>
          <w:lang w:val="en-US" w:eastAsia="zh-CN"/>
        </w:rPr>
        <w:t>主要禁忌症</w:t>
      </w:r>
      <w:r>
        <w:rPr>
          <w:rFonts w:hint="eastAsia" w:ascii="仿宋_GB2312" w:hAnsi="宋体"/>
          <w:color w:val="auto"/>
          <w:sz w:val="32"/>
          <w:szCs w:val="32"/>
          <w:lang w:val="en-US" w:eastAsia="zh-CN"/>
        </w:rPr>
        <w:t>包括</w:t>
      </w:r>
      <w:r>
        <w:rPr>
          <w:rFonts w:hint="eastAsia" w:ascii="仿宋_GB2312" w:hAnsi="宋体" w:eastAsia="仿宋_GB2312"/>
          <w:color w:val="auto"/>
          <w:sz w:val="32"/>
          <w:szCs w:val="32"/>
          <w:lang w:val="en-US" w:eastAsia="zh-CN"/>
        </w:rPr>
        <w:t>：膝关节结核、肿瘤、严重骨质疏松症</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关节局部急性感染、化脓性炎症、丹毒、骨髓炎</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关节内骨折未愈合、重度关节不稳</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治疗部位有大面积皮肤破损、溃疡、瘢痕或深部脓肿</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存在严重的心、肝、肾功能衰竭者</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严重凝血功能障碍、血友病等出血性疾病及有自发性出血倾向者</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妊娠期妇女腹部及腰骶部禁用，其他部位慎用</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对金属（银）、药物等严重过敏者。</w:t>
      </w:r>
    </w:p>
    <w:p w14:paraId="60387386">
      <w:pPr>
        <w:keepNext w:val="0"/>
        <w:keepLines w:val="0"/>
        <w:pageBreakBefore w:val="0"/>
        <w:kinsoku/>
        <w:overflowPunct/>
        <w:topLinePunct w:val="0"/>
        <w:bidi w:val="0"/>
        <w:snapToGrid/>
        <w:ind w:left="0" w:firstLine="643" w:firstLineChars="200"/>
        <w:textAlignment w:val="auto"/>
        <w:rPr>
          <w:rFonts w:hint="default"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（四）注意事项</w:t>
      </w:r>
    </w:p>
    <w:p w14:paraId="1148FDDF">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急性期（48h内）禁推拿</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符合现代医学RICE原则。急性期毛细血管破裂、组织液渗出，推拿会加重毛细血管扩张，使肿胀加剧。此时取远端穴（昆仑、太溪），是利用中医“循经远取”理论，通过刺激足太阳膀胱经和足少阴肾经的远端腧穴，调动经气达到“远端镇痛、调节全身气血”之效，既能止痛，又不会扰动局部病灶。湿热痹阻证慎用温热疗法（推拿/烫熨/火针）：中医讲“热者寒之”。湿热证是局部红肿热痛，若再用火针、烫熨等热性疗法，会加重局部血管炎症反应和组织水肿。肝主筋、肾主骨，半月板属筋，肝肾亏虚是本虚。刺血、火针属“泻法”和“破气”之法，若用于虚证，会耗伤正气，导致筋失濡养更甚，反而加重退变。此时应以补益温养（如艾灸、补法针刺）为主。</w:t>
      </w:r>
    </w:p>
    <w:p w14:paraId="6B334FCD">
      <w:pPr>
        <w:keepNext w:val="0"/>
        <w:keepLines w:val="0"/>
        <w:pageBreakBefore w:val="0"/>
        <w:kinsoku/>
        <w:overflowPunct/>
        <w:topLinePunct w:val="0"/>
        <w:bidi w:val="0"/>
        <w:snapToGrid/>
        <w:ind w:left="0" w:firstLine="643" w:firstLineChars="200"/>
        <w:textAlignment w:val="auto"/>
        <w:rPr>
          <w:rFonts w:hint="default"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（五）健康宣教</w:t>
      </w:r>
    </w:p>
    <w:p w14:paraId="77FDF28A">
      <w:pPr>
        <w:keepNext w:val="0"/>
        <w:keepLines w:val="0"/>
        <w:pageBreakBefore w:val="0"/>
        <w:kinsoku/>
        <w:overflowPunct/>
        <w:topLinePunct w:val="0"/>
        <w:autoSpaceDE/>
        <w:autoSpaceDN/>
        <w:bidi w:val="0"/>
        <w:adjustRightInd/>
        <w:snapToGrid/>
        <w:spacing w:line="240" w:lineRule="auto"/>
        <w:ind w:left="0" w:leftChars="0" w:firstLine="640" w:firstLineChars="200"/>
        <w:jc w:val="left"/>
        <w:textAlignment w:val="auto"/>
        <w:rPr>
          <w:rFonts w:ascii="仿宋_GB2312" w:hAnsi="宋体" w:cs="Times New Roman"/>
          <w:b w:val="0"/>
          <w:bCs w:val="0"/>
          <w:color w:val="auto"/>
          <w:sz w:val="32"/>
          <w:szCs w:val="32"/>
        </w:rPr>
      </w:pPr>
    </w:p>
    <w:p w14:paraId="412D30F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bookmarkStart w:id="47" w:name="_Toc526940086"/>
      <w:r>
        <w:rPr>
          <w:rFonts w:hint="eastAsia" w:ascii="黑体" w:hAnsi="黑体" w:eastAsia="黑体" w:cs="仿宋_GB2312"/>
          <w:color w:val="auto"/>
          <w:sz w:val="32"/>
          <w:szCs w:val="32"/>
        </w:rPr>
        <w:t>六、</w:t>
      </w:r>
      <w:bookmarkEnd w:id="47"/>
      <w:r>
        <w:rPr>
          <w:rFonts w:hint="eastAsia" w:ascii="黑体" w:hAnsi="黑体" w:eastAsia="黑体" w:cs="仿宋_GB2312"/>
          <w:color w:val="auto"/>
          <w:sz w:val="32"/>
          <w:szCs w:val="32"/>
        </w:rPr>
        <w:t>重大分歧意见的处理经过和依据</w:t>
      </w:r>
    </w:p>
    <w:p w14:paraId="7DBD7D8D">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七</w:t>
      </w:r>
      <w:r>
        <w:rPr>
          <w:rFonts w:ascii="黑体" w:hAnsi="黑体" w:eastAsia="黑体" w:cs="仿宋_GB2312"/>
          <w:color w:val="auto"/>
          <w:sz w:val="32"/>
          <w:szCs w:val="32"/>
        </w:rPr>
        <w:t>、</w:t>
      </w:r>
      <w:r>
        <w:rPr>
          <w:rFonts w:hint="eastAsia" w:ascii="黑体" w:hAnsi="黑体" w:eastAsia="黑体" w:cs="仿宋_GB2312"/>
          <w:color w:val="auto"/>
          <w:sz w:val="32"/>
          <w:szCs w:val="32"/>
        </w:rPr>
        <w:t>实施标准的措施</w:t>
      </w:r>
    </w:p>
    <w:p w14:paraId="67C45D00">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（一）标准报批发布后，成立标准宣贯工作组</w:t>
      </w:r>
    </w:p>
    <w:p w14:paraId="7330B5F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（二）组织开展标准宣贯培训</w:t>
      </w:r>
    </w:p>
    <w:p w14:paraId="38C99CE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（三）开展标准实施交流会，收集标准实施反馈信息</w:t>
      </w:r>
    </w:p>
    <w:p w14:paraId="336AB236">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（四）开展标准实施效果评估</w:t>
      </w:r>
    </w:p>
    <w:p w14:paraId="7DE0DDFE">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八、其他应当说明的事项</w:t>
      </w:r>
    </w:p>
    <w:p w14:paraId="23A53EB2">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无。</w:t>
      </w:r>
    </w:p>
    <w:p w14:paraId="1562F1AF">
      <w:pPr>
        <w:keepNext w:val="0"/>
        <w:keepLines w:val="0"/>
        <w:pageBreakBefore w:val="0"/>
        <w:kinsoku/>
        <w:overflowPunct/>
        <w:topLinePunct w:val="0"/>
        <w:bidi w:val="0"/>
        <w:snapToGrid/>
        <w:spacing w:line="560" w:lineRule="exact"/>
        <w:ind w:left="0"/>
        <w:textAlignment w:val="auto"/>
        <w:rPr>
          <w:rFonts w:ascii="仿宋_GB2312" w:hAnsi="仿宋" w:eastAsia="仿宋_GB2312"/>
          <w:bCs/>
          <w:color w:val="auto"/>
          <w:sz w:val="36"/>
          <w:szCs w:val="32"/>
        </w:rPr>
      </w:pPr>
    </w:p>
    <w:p w14:paraId="0FDE70D6">
      <w:pPr>
        <w:keepNext w:val="0"/>
        <w:keepLines w:val="0"/>
        <w:pageBreakBefore w:val="0"/>
        <w:kinsoku/>
        <w:overflowPunct/>
        <w:topLinePunct w:val="0"/>
        <w:bidi w:val="0"/>
        <w:snapToGrid/>
        <w:spacing w:line="560" w:lineRule="exact"/>
        <w:ind w:left="0"/>
        <w:textAlignment w:val="auto"/>
        <w:rPr>
          <w:rFonts w:ascii="仿宋_GB2312" w:hAnsi="仿宋" w:eastAsia="仿宋_GB2312"/>
          <w:bCs/>
          <w:color w:val="auto"/>
          <w:sz w:val="36"/>
          <w:szCs w:val="32"/>
        </w:rPr>
      </w:pPr>
    </w:p>
    <w:p w14:paraId="639B864D">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团体标准《半月板损伤中医诊疗规范》</w:t>
      </w:r>
    </w:p>
    <w:p w14:paraId="607C1987">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 xml:space="preserve">标准编制工作组 </w:t>
      </w:r>
      <w:r>
        <w:rPr>
          <w:rFonts w:ascii="仿宋_GB2312" w:hAnsi="宋体" w:eastAsia="仿宋_GB2312"/>
          <w:color w:val="auto"/>
          <w:sz w:val="32"/>
          <w:szCs w:val="28"/>
        </w:rPr>
        <w:t xml:space="preserve">        </w:t>
      </w:r>
    </w:p>
    <w:p w14:paraId="539467F6">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6</w:t>
      </w:r>
      <w:r>
        <w:rPr>
          <w:rFonts w:hint="eastAsia" w:ascii="仿宋_GB2312" w:hAnsi="宋体" w:eastAsia="仿宋_GB2312"/>
          <w:color w:val="auto"/>
          <w:sz w:val="32"/>
          <w:szCs w:val="28"/>
        </w:rPr>
        <w:t>月</w:t>
      </w:r>
      <w:r>
        <w:rPr>
          <w:rFonts w:hint="eastAsia" w:ascii="仿宋_GB2312" w:hAnsi="宋体"/>
          <w:color w:val="auto"/>
          <w:sz w:val="32"/>
          <w:szCs w:val="28"/>
          <w:lang w:val="en-US" w:eastAsia="zh-CN"/>
        </w:rPr>
        <w:t>25</w:t>
      </w:r>
      <w:bookmarkStart w:id="48" w:name="_GoBack"/>
      <w:bookmarkEnd w:id="48"/>
      <w:r>
        <w:rPr>
          <w:rFonts w:hint="eastAsia" w:ascii="仿宋_GB2312" w:hAnsi="宋体" w:eastAsia="仿宋_GB2312"/>
          <w:color w:val="auto"/>
          <w:sz w:val="32"/>
          <w:szCs w:val="28"/>
        </w:rPr>
        <w:t xml:space="preserve">日       </w:t>
      </w:r>
      <w:r>
        <w:rPr>
          <w:rFonts w:ascii="仿宋_GB2312" w:hAnsi="宋体" w:eastAsia="仿宋_GB2312"/>
          <w:color w:val="auto"/>
          <w:sz w:val="32"/>
          <w:szCs w:val="28"/>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3"/>
          <w:jc w:val="center"/>
        </w:pPr>
        <w:r>
          <w:fldChar w:fldCharType="begin"/>
        </w:r>
        <w:r>
          <w:instrText xml:space="preserve">PAGE   \* MERGEFORMAT</w:instrText>
        </w:r>
        <w:r>
          <w:fldChar w:fldCharType="separate"/>
        </w:r>
        <w:r>
          <w:rPr>
            <w:lang w:val="zh-CN"/>
          </w:rPr>
          <w:t>7</w:t>
        </w:r>
        <w:r>
          <w:fldChar w:fldCharType="end"/>
        </w:r>
      </w:p>
    </w:sdtContent>
  </w:sdt>
  <w:p w14:paraId="76F9E80E">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0"/>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4"/>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3"/>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5"/>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4"/>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6"/>
      <w:suff w:val="nothing"/>
      <w:lvlText w:val="%1.%2.%3　"/>
      <w:lvlJc w:val="left"/>
      <w:pPr>
        <w:ind w:left="0" w:firstLine="0"/>
      </w:pPr>
      <w:rPr>
        <w:rFonts w:hint="eastAsia" w:ascii="黑体" w:hAnsi="Times New Roman" w:eastAsia="黑体"/>
        <w:b w:val="0"/>
        <w:i w:val="0"/>
        <w:sz w:val="21"/>
      </w:rPr>
    </w:lvl>
    <w:lvl w:ilvl="3" w:tentative="0">
      <w:start w:val="1"/>
      <w:numFmt w:val="decimal"/>
      <w:pStyle w:val="17"/>
      <w:suff w:val="nothing"/>
      <w:lvlText w:val="%1.%2.%3.%4　"/>
      <w:lvlJc w:val="left"/>
      <w:pPr>
        <w:ind w:left="0" w:firstLine="0"/>
      </w:pPr>
      <w:rPr>
        <w:rFonts w:hint="eastAsia" w:ascii="黑体" w:hAnsi="Times New Roman" w:eastAsia="黑体"/>
        <w:b w:val="0"/>
        <w:i w:val="0"/>
        <w:sz w:val="21"/>
      </w:rPr>
    </w:lvl>
    <w:lvl w:ilvl="4" w:tentative="0">
      <w:start w:val="1"/>
      <w:numFmt w:val="decimal"/>
      <w:pStyle w:val="18"/>
      <w:suff w:val="nothing"/>
      <w:lvlText w:val="%1.%2.%3.%4.%5　"/>
      <w:lvlJc w:val="left"/>
      <w:pPr>
        <w:ind w:left="0" w:firstLine="0"/>
      </w:pPr>
      <w:rPr>
        <w:rFonts w:hint="eastAsia" w:ascii="黑体" w:hAnsi="Times New Roman" w:eastAsia="黑体"/>
        <w:b w:val="0"/>
        <w:i w:val="0"/>
        <w:sz w:val="21"/>
      </w:rPr>
    </w:lvl>
    <w:lvl w:ilvl="5" w:tentative="0">
      <w:start w:val="1"/>
      <w:numFmt w:val="decimal"/>
      <w:pStyle w:val="19"/>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1"/>
      <w:suff w:val="space"/>
      <w:lvlText w:val="%1"/>
      <w:lvlJc w:val="left"/>
      <w:pPr>
        <w:ind w:left="623" w:hanging="425"/>
      </w:pPr>
      <w:rPr>
        <w:rFonts w:hint="eastAsia"/>
      </w:rPr>
    </w:lvl>
    <w:lvl w:ilvl="1" w:tentative="0">
      <w:start w:val="1"/>
      <w:numFmt w:val="decimal"/>
      <w:pStyle w:val="22"/>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3"/>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28"/>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2"/>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8">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8"/>
      <w:suff w:val="nothing"/>
      <w:lvlText w:val="%1%2　"/>
      <w:lvlJc w:val="left"/>
      <w:pPr>
        <w:ind w:left="0" w:firstLine="0"/>
      </w:pPr>
      <w:rPr>
        <w:rFonts w:hint="eastAsia" w:ascii="黑体" w:eastAsia="黑体"/>
        <w:b w:val="0"/>
        <w:i w:val="0"/>
        <w:sz w:val="21"/>
      </w:rPr>
    </w:lvl>
    <w:lvl w:ilvl="2" w:tentative="0">
      <w:start w:val="1"/>
      <w:numFmt w:val="decimal"/>
      <w:pStyle w:val="37"/>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1F7F7E"/>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274"/>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C337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39E595D"/>
    <w:rsid w:val="064047AA"/>
    <w:rsid w:val="068C3E93"/>
    <w:rsid w:val="070F07F6"/>
    <w:rsid w:val="08083403"/>
    <w:rsid w:val="094F6A9E"/>
    <w:rsid w:val="09BE5E2A"/>
    <w:rsid w:val="09E244F6"/>
    <w:rsid w:val="0A091F73"/>
    <w:rsid w:val="0A8504E9"/>
    <w:rsid w:val="0C7B5CE1"/>
    <w:rsid w:val="0CE560AB"/>
    <w:rsid w:val="0D92619C"/>
    <w:rsid w:val="0E4C5F96"/>
    <w:rsid w:val="0EB020D5"/>
    <w:rsid w:val="0F412CA9"/>
    <w:rsid w:val="0F501F02"/>
    <w:rsid w:val="0FD566D2"/>
    <w:rsid w:val="107240FA"/>
    <w:rsid w:val="10D076E8"/>
    <w:rsid w:val="13B2170D"/>
    <w:rsid w:val="13B97480"/>
    <w:rsid w:val="14034EB5"/>
    <w:rsid w:val="14870494"/>
    <w:rsid w:val="15085E8C"/>
    <w:rsid w:val="15174F60"/>
    <w:rsid w:val="1556095A"/>
    <w:rsid w:val="167015A7"/>
    <w:rsid w:val="167D7F24"/>
    <w:rsid w:val="172F4AF3"/>
    <w:rsid w:val="17306AB5"/>
    <w:rsid w:val="17373F64"/>
    <w:rsid w:val="18047D2E"/>
    <w:rsid w:val="191C10A7"/>
    <w:rsid w:val="195C5947"/>
    <w:rsid w:val="19A054D6"/>
    <w:rsid w:val="19C808E7"/>
    <w:rsid w:val="1A8F7D28"/>
    <w:rsid w:val="1AAD2820"/>
    <w:rsid w:val="1B0717C8"/>
    <w:rsid w:val="1B721452"/>
    <w:rsid w:val="1BCB46BE"/>
    <w:rsid w:val="1BE33681"/>
    <w:rsid w:val="1DC046F7"/>
    <w:rsid w:val="1F2C7DBE"/>
    <w:rsid w:val="20653288"/>
    <w:rsid w:val="21862EC6"/>
    <w:rsid w:val="223C00C4"/>
    <w:rsid w:val="237A2B2A"/>
    <w:rsid w:val="251F61A7"/>
    <w:rsid w:val="25461C29"/>
    <w:rsid w:val="25D214DF"/>
    <w:rsid w:val="28D21782"/>
    <w:rsid w:val="298760C9"/>
    <w:rsid w:val="2B165956"/>
    <w:rsid w:val="2C4F36F5"/>
    <w:rsid w:val="2CF60F59"/>
    <w:rsid w:val="2D5F22BD"/>
    <w:rsid w:val="2E5F5866"/>
    <w:rsid w:val="2FF37D11"/>
    <w:rsid w:val="3013049D"/>
    <w:rsid w:val="30457642"/>
    <w:rsid w:val="31344D88"/>
    <w:rsid w:val="332C3D99"/>
    <w:rsid w:val="33303110"/>
    <w:rsid w:val="365875C5"/>
    <w:rsid w:val="365D6B2F"/>
    <w:rsid w:val="365E28A7"/>
    <w:rsid w:val="36B64491"/>
    <w:rsid w:val="378B76CC"/>
    <w:rsid w:val="38F63176"/>
    <w:rsid w:val="39356049"/>
    <w:rsid w:val="39461AFC"/>
    <w:rsid w:val="39E44E71"/>
    <w:rsid w:val="3A192D6D"/>
    <w:rsid w:val="3A9A5929"/>
    <w:rsid w:val="3B4E60E4"/>
    <w:rsid w:val="3B903503"/>
    <w:rsid w:val="3BFE2074"/>
    <w:rsid w:val="3F2C214D"/>
    <w:rsid w:val="3F3D5750"/>
    <w:rsid w:val="3F5C54AA"/>
    <w:rsid w:val="3F8C7277"/>
    <w:rsid w:val="3FA0222F"/>
    <w:rsid w:val="3FA05CDE"/>
    <w:rsid w:val="41BC1DE0"/>
    <w:rsid w:val="42A45AE6"/>
    <w:rsid w:val="42D769B6"/>
    <w:rsid w:val="43433E0F"/>
    <w:rsid w:val="44000AFA"/>
    <w:rsid w:val="44BA15F0"/>
    <w:rsid w:val="44F600D3"/>
    <w:rsid w:val="45617704"/>
    <w:rsid w:val="48B048DB"/>
    <w:rsid w:val="49045382"/>
    <w:rsid w:val="490948F4"/>
    <w:rsid w:val="4B8C0594"/>
    <w:rsid w:val="4C0F7B1B"/>
    <w:rsid w:val="4C2061DD"/>
    <w:rsid w:val="4CFE380A"/>
    <w:rsid w:val="4D862B8C"/>
    <w:rsid w:val="4DFF35F5"/>
    <w:rsid w:val="4EF47599"/>
    <w:rsid w:val="4FE3578A"/>
    <w:rsid w:val="509C604E"/>
    <w:rsid w:val="51FA74D0"/>
    <w:rsid w:val="53C93F13"/>
    <w:rsid w:val="54E94B5B"/>
    <w:rsid w:val="555E23B0"/>
    <w:rsid w:val="55661639"/>
    <w:rsid w:val="55761622"/>
    <w:rsid w:val="58A138EB"/>
    <w:rsid w:val="5AA86512"/>
    <w:rsid w:val="5B2916BE"/>
    <w:rsid w:val="5BD857FA"/>
    <w:rsid w:val="5C080481"/>
    <w:rsid w:val="5E202145"/>
    <w:rsid w:val="5F621BCD"/>
    <w:rsid w:val="6031647B"/>
    <w:rsid w:val="60F56782"/>
    <w:rsid w:val="61926DDD"/>
    <w:rsid w:val="61963763"/>
    <w:rsid w:val="6198016C"/>
    <w:rsid w:val="626F16E1"/>
    <w:rsid w:val="62F74A7A"/>
    <w:rsid w:val="648275DD"/>
    <w:rsid w:val="659770B8"/>
    <w:rsid w:val="668E2223"/>
    <w:rsid w:val="683026D9"/>
    <w:rsid w:val="689A6DDC"/>
    <w:rsid w:val="693F388B"/>
    <w:rsid w:val="6DBA21A1"/>
    <w:rsid w:val="6E446C04"/>
    <w:rsid w:val="6F082DD5"/>
    <w:rsid w:val="713855CC"/>
    <w:rsid w:val="73731F46"/>
    <w:rsid w:val="774A385E"/>
    <w:rsid w:val="78AF3D07"/>
    <w:rsid w:val="7930196F"/>
    <w:rsid w:val="793A6280"/>
    <w:rsid w:val="7A6A4943"/>
    <w:rsid w:val="7AF5051C"/>
    <w:rsid w:val="7BBA680A"/>
    <w:rsid w:val="7BE826AE"/>
    <w:rsid w:val="7C1E3C37"/>
    <w:rsid w:val="7CCF532E"/>
    <w:rsid w:val="7E0033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35"/>
    <w:semiHidden/>
    <w:unhideWhenUsed/>
    <w:qFormat/>
    <w:uiPriority w:val="0"/>
    <w:rPr>
      <w:sz w:val="18"/>
      <w:szCs w:val="18"/>
    </w:rPr>
  </w:style>
  <w:style w:type="paragraph" w:styleId="3">
    <w:name w:val="footer"/>
    <w:basedOn w:val="1"/>
    <w:link w:val="27"/>
    <w:qFormat/>
    <w:uiPriority w:val="99"/>
    <w:pPr>
      <w:tabs>
        <w:tab w:val="center" w:pos="4153"/>
        <w:tab w:val="right" w:pos="8306"/>
      </w:tabs>
      <w:snapToGrid w:val="0"/>
      <w:jc w:val="left"/>
    </w:pPr>
    <w:rPr>
      <w:sz w:val="18"/>
      <w:szCs w:val="18"/>
    </w:rPr>
  </w:style>
  <w:style w:type="paragraph" w:styleId="4">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spacing w:before="100" w:beforeAutospacing="1" w:after="100" w:afterAutospacing="1"/>
      <w:jc w:val="left"/>
    </w:pPr>
    <w:rPr>
      <w:kern w:val="0"/>
      <w:sz w:val="24"/>
    </w:rPr>
  </w:style>
  <w:style w:type="table" w:styleId="7">
    <w:name w:val="Table Grid"/>
    <w:basedOn w:val="6"/>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
    <w:name w:val="Hyperlink"/>
    <w:basedOn w:val="8"/>
    <w:unhideWhenUsed/>
    <w:qFormat/>
    <w:uiPriority w:val="99"/>
    <w:rPr>
      <w:color w:val="0000FF"/>
      <w:u w:val="single"/>
    </w:rPr>
  </w:style>
  <w:style w:type="paragraph" w:customStyle="1" w:styleId="10">
    <w:name w:val="段"/>
    <w:link w:val="25"/>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1">
    <w:name w:val="正文表标题"/>
    <w:next w:val="10"/>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2">
    <w:name w:val="正文图标题"/>
    <w:next w:val="10"/>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4">
    <w:name w:val="一级条标题"/>
    <w:next w:val="10"/>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5">
    <w:name w:val="章标题"/>
    <w:next w:val="10"/>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6">
    <w:name w:val="二级条标题"/>
    <w:basedOn w:val="14"/>
    <w:next w:val="10"/>
    <w:qFormat/>
    <w:uiPriority w:val="0"/>
    <w:pPr>
      <w:numPr>
        <w:ilvl w:val="2"/>
      </w:numPr>
      <w:spacing w:before="50" w:after="50"/>
      <w:outlineLvl w:val="3"/>
    </w:pPr>
  </w:style>
  <w:style w:type="paragraph" w:customStyle="1" w:styleId="17">
    <w:name w:val="三级条标题"/>
    <w:basedOn w:val="16"/>
    <w:next w:val="10"/>
    <w:qFormat/>
    <w:uiPriority w:val="0"/>
    <w:pPr>
      <w:numPr>
        <w:ilvl w:val="3"/>
      </w:numPr>
      <w:outlineLvl w:val="4"/>
    </w:pPr>
  </w:style>
  <w:style w:type="paragraph" w:customStyle="1" w:styleId="18">
    <w:name w:val="四级条标题"/>
    <w:basedOn w:val="17"/>
    <w:next w:val="10"/>
    <w:qFormat/>
    <w:uiPriority w:val="0"/>
    <w:pPr>
      <w:numPr>
        <w:ilvl w:val="4"/>
      </w:numPr>
      <w:outlineLvl w:val="5"/>
    </w:pPr>
  </w:style>
  <w:style w:type="paragraph" w:customStyle="1" w:styleId="19">
    <w:name w:val="五级条标题"/>
    <w:basedOn w:val="18"/>
    <w:next w:val="10"/>
    <w:qFormat/>
    <w:uiPriority w:val="0"/>
    <w:pPr>
      <w:numPr>
        <w:ilvl w:val="5"/>
      </w:numPr>
      <w:outlineLvl w:val="6"/>
    </w:pPr>
  </w:style>
  <w:style w:type="paragraph" w:customStyle="1" w:styleId="20">
    <w:name w:val="注："/>
    <w:next w:val="10"/>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1">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2">
    <w:name w:val="附录图标题"/>
    <w:basedOn w:val="1"/>
    <w:next w:val="10"/>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3">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4">
    <w:name w:val="图表脚注说明"/>
    <w:basedOn w:val="1"/>
    <w:qFormat/>
    <w:uiPriority w:val="0"/>
    <w:pPr>
      <w:numPr>
        <w:ilvl w:val="0"/>
        <w:numId w:val="7"/>
      </w:numPr>
    </w:pPr>
    <w:rPr>
      <w:rFonts w:ascii="宋体"/>
      <w:sz w:val="18"/>
      <w:szCs w:val="18"/>
    </w:rPr>
  </w:style>
  <w:style w:type="character" w:customStyle="1" w:styleId="25">
    <w:name w:val="段 Char"/>
    <w:basedOn w:val="8"/>
    <w:link w:val="10"/>
    <w:qFormat/>
    <w:uiPriority w:val="0"/>
    <w:rPr>
      <w:rFonts w:ascii="宋体"/>
      <w:sz w:val="21"/>
      <w:lang w:val="en-US" w:eastAsia="zh-CN" w:bidi="ar-SA"/>
    </w:rPr>
  </w:style>
  <w:style w:type="character" w:customStyle="1" w:styleId="26">
    <w:name w:val="页眉 字符"/>
    <w:basedOn w:val="8"/>
    <w:link w:val="4"/>
    <w:qFormat/>
    <w:uiPriority w:val="0"/>
    <w:rPr>
      <w:kern w:val="2"/>
      <w:sz w:val="18"/>
      <w:szCs w:val="18"/>
    </w:rPr>
  </w:style>
  <w:style w:type="character" w:customStyle="1" w:styleId="27">
    <w:name w:val="页脚 字符"/>
    <w:basedOn w:val="8"/>
    <w:link w:val="3"/>
    <w:qFormat/>
    <w:uiPriority w:val="99"/>
    <w:rPr>
      <w:kern w:val="2"/>
      <w:sz w:val="18"/>
      <w:szCs w:val="18"/>
    </w:rPr>
  </w:style>
  <w:style w:type="paragraph" w:customStyle="1" w:styleId="28">
    <w:name w:val="附录表标题"/>
    <w:basedOn w:val="1"/>
    <w:next w:val="10"/>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29">
    <w:name w:val="List Paragraph"/>
    <w:basedOn w:val="1"/>
    <w:unhideWhenUsed/>
    <w:qFormat/>
    <w:uiPriority w:val="34"/>
    <w:pPr>
      <w:ind w:firstLine="420" w:firstLineChars="200"/>
    </w:pPr>
  </w:style>
  <w:style w:type="paragraph" w:customStyle="1" w:styleId="3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1">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2">
    <w:name w:val="发布"/>
    <w:qFormat/>
    <w:uiPriority w:val="0"/>
    <w:rPr>
      <w:rFonts w:ascii="黑体" w:eastAsia="黑体"/>
      <w:spacing w:val="22"/>
      <w:w w:val="100"/>
      <w:position w:val="3"/>
      <w:sz w:val="28"/>
    </w:rPr>
  </w:style>
  <w:style w:type="paragraph" w:customStyle="1" w:styleId="3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4">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5">
    <w:name w:val="批注框文本 字符"/>
    <w:basedOn w:val="8"/>
    <w:link w:val="2"/>
    <w:semiHidden/>
    <w:qFormat/>
    <w:uiPriority w:val="0"/>
    <w:rPr>
      <w:rFonts w:ascii="Times New Roman" w:hAnsi="Times New Roman"/>
      <w:kern w:val="2"/>
      <w:sz w:val="18"/>
      <w:szCs w:val="18"/>
    </w:rPr>
  </w:style>
  <w:style w:type="paragraph" w:customStyle="1" w:styleId="36">
    <w:name w:val="标准文件_一级无标题"/>
    <w:basedOn w:val="37"/>
    <w:qFormat/>
    <w:uiPriority w:val="0"/>
    <w:pPr>
      <w:spacing w:beforeLines="0" w:afterLines="0"/>
      <w:outlineLvl w:val="9"/>
    </w:pPr>
    <w:rPr>
      <w:rFonts w:ascii="宋体" w:eastAsia="宋体"/>
    </w:rPr>
  </w:style>
  <w:style w:type="paragraph" w:customStyle="1" w:styleId="37">
    <w:name w:val="标准文件_一级条标题"/>
    <w:basedOn w:val="38"/>
    <w:next w:val="34"/>
    <w:qFormat/>
    <w:uiPriority w:val="0"/>
    <w:pPr>
      <w:numPr>
        <w:ilvl w:val="2"/>
      </w:numPr>
      <w:spacing w:beforeLines="50" w:afterLines="50"/>
      <w:outlineLvl w:val="1"/>
    </w:pPr>
  </w:style>
  <w:style w:type="paragraph" w:customStyle="1" w:styleId="38">
    <w:name w:val="标准文件_章标题"/>
    <w:next w:val="34"/>
    <w:qFormat/>
    <w:uiPriority w:val="0"/>
    <w:pPr>
      <w:numPr>
        <w:ilvl w:val="1"/>
        <w:numId w:val="9"/>
      </w:numPr>
      <w:spacing w:beforeLines="100" w:afterLines="100"/>
      <w:jc w:val="both"/>
      <w:outlineLvl w:val="0"/>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24</Pages>
  <Words>9895</Words>
  <Characters>10036</Characters>
  <Lines>2</Lines>
  <Paragraphs>5</Paragraphs>
  <TotalTime>1</TotalTime>
  <ScaleCrop>false</ScaleCrop>
  <LinksUpToDate>false</LinksUpToDate>
  <CharactersWithSpaces>10054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2026-06-30T07:04:52Z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484DF7F1BEB842158BCD0584349217B5</vt:lpwstr>
  </property>
  <property fmtid="{D5CDD505-2E9C-101B-9397-08002B2CF9AE}" pid="4" name="KSOTemplateDocerSaveRecord">
    <vt:lpwstr>eyJoZGlkIjoiYWU5ODIyNDQzMTFlYmNiMzlhMmFkNjExNWM2YjM4YTYiLCJ1c2VySWQiOiIxNjgzMDY0NzMzIn0=</vt:lpwstr>
  </property>
</Properties>
</file>